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подведения 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итогов  электронного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0169300010319000283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06.05.2019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193742600205674600100100090014211244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Ямочный ремонт дорог в с. Аргаяш Аргаяшского района Челябинской области по улицам: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Набережая, ул. 1-е Мая, ул. Коммунистическая, ул. Российская, ул. Интернациональная, ул. Полевая, ул. Зои Космодемьянской, ул. Карла Маркса, Пл. Нефтебазы,  Пл. ДРСУ, ул. Железнодорожная, ул. пер.Озёрный, ул. Галимова, ул. Береговая, Пл. ДПМК.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885372,04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892E7C" w:rsidR="00AD5908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0169300010319000283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5336"/>
        <w:gridCol w:w="1637"/>
      </w:tblGrid>
      <w:tr w:rsidRPr="00531ADE" w:rsidR="00AB41BD" w:rsidTr="00AB41BD">
        <w:trPr>
          <w:trHeight w:val="5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104970221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660133,13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104937162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"КОМПАНЬОНЪ"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664560,00</w:t>
            </w:r>
          </w:p>
        </w:tc>
      </w:tr>
      <w:tr w:rsidRPr="006A2A8F" w:rsidR="00AB41BD" w:rsidTr="00AB41BD">
        <w:trPr>
          <w:trHeight w:val="197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104969177</w:t>
            </w:r>
          </w:p>
        </w:tc>
        <w:tc>
          <w:tcPr>
            <w:tcW w:w="2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ПРОИЗВОДСТВЕННО-СТРОИТЕЛЬНАЯ КОМПАНИЯ "ПОБЕДА"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748139,07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230"/>
        <w:gridCol w:w="2614"/>
        <w:gridCol w:w="1765"/>
        <w:gridCol w:w="2592"/>
      </w:tblGrid>
      <w:tr w:rsidRPr="006C567F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104970221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104937162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"КОМПАНЬОНЪ"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AB41BD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41400" w:rsidRDefault="00AB41B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104969177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ПРОИЗВОДСТВЕННО-СТРОИТЕЛЬНАЯ КОМПАНИЯ "ПОБЕДА"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</w:t>
      </w:r>
      <w:bookmarkStart w:name="_GoBack" w:id="0"/>
      <w:bookmarkEnd w:id="0"/>
      <w:r w:rsidRPr="003C5E0B">
        <w:rPr>
          <w:rFonts w:ascii="Times New Roman" w:hAnsi="Times New Roman" w:cs="Times New Roman"/>
          <w:sz w:val="24"/>
          <w:szCs w:val="24"/>
        </w:rPr>
        <w:t xml:space="preserve"> вторых частей заявок на участие в электронном аукционе и в соответствии 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"ДОРСЕРВИССТРОЙ"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5B56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67</cp:revision>
  <dcterms:created xsi:type="dcterms:W3CDTF">2014-06-02T03:03:00Z</dcterms:created>
  <dcterms:modified xsi:type="dcterms:W3CDTF">2018-12-05T13:19:00Z</dcterms:modified>
</cp:coreProperties>
</file>