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62" w:rsidRPr="00C23947" w:rsidRDefault="00767362" w:rsidP="00767362">
      <w:pPr>
        <w:spacing w:line="276" w:lineRule="auto"/>
        <w:ind w:firstLine="720"/>
        <w:jc w:val="both"/>
        <w:rPr>
          <w:rFonts w:ascii="PF Din Text Cond Pro" w:hAnsi="PF Din Text Cond Pro"/>
          <w:sz w:val="32"/>
          <w:szCs w:val="32"/>
        </w:rPr>
      </w:pPr>
      <w:proofErr w:type="gramStart"/>
      <w:r w:rsidRPr="00C23947">
        <w:rPr>
          <w:rFonts w:ascii="PF Din Text Cond Pro" w:hAnsi="PF Din Text Cond Pro"/>
          <w:sz w:val="32"/>
          <w:szCs w:val="32"/>
        </w:rPr>
        <w:t>Электронный сервис «Узнай свою задолженность», предоставлявший пользователям возможность осуществлять поиск информации о задолженности по имущественному, транспортному, земельному налогам, налогу на доходы физических лиц, распечатывать платежный документ (извещение) по форме №ПД (налог) и осуществлять оплату задолженности, был разработан ФНС России в инициативном порядке, как первый этап развития сервиса «Личный кабинет налогоплательщика для физических лиц».</w:t>
      </w:r>
      <w:proofErr w:type="gramEnd"/>
    </w:p>
    <w:p w:rsidR="00767362" w:rsidRPr="00C23947" w:rsidRDefault="00767362" w:rsidP="00767362">
      <w:pPr>
        <w:spacing w:line="276" w:lineRule="auto"/>
        <w:ind w:firstLine="720"/>
        <w:jc w:val="both"/>
        <w:rPr>
          <w:rFonts w:ascii="PF Din Text Cond Pro" w:hAnsi="PF Din Text Cond Pro"/>
          <w:sz w:val="32"/>
          <w:szCs w:val="32"/>
        </w:rPr>
      </w:pPr>
      <w:r w:rsidRPr="00C23947">
        <w:rPr>
          <w:rFonts w:ascii="PF Din Text Cond Pro" w:hAnsi="PF Din Text Cond Pro"/>
          <w:sz w:val="32"/>
          <w:szCs w:val="32"/>
        </w:rPr>
        <w:t xml:space="preserve">В настоящее время на официальном сайте ФНС России </w:t>
      </w:r>
      <w:hyperlink r:id="rId7" w:history="1">
        <w:r w:rsidRPr="00C23947">
          <w:rPr>
            <w:rStyle w:val="a3"/>
            <w:rFonts w:ascii="PF Din Text Cond Pro" w:hAnsi="PF Din Text Cond Pro"/>
            <w:color w:val="auto"/>
            <w:sz w:val="32"/>
            <w:szCs w:val="32"/>
            <w:lang w:val="en-US"/>
          </w:rPr>
          <w:t>www</w:t>
        </w:r>
        <w:r w:rsidRPr="00C23947">
          <w:rPr>
            <w:rStyle w:val="a3"/>
            <w:rFonts w:ascii="PF Din Text Cond Pro" w:hAnsi="PF Din Text Cond Pro"/>
            <w:color w:val="auto"/>
            <w:sz w:val="32"/>
            <w:szCs w:val="32"/>
          </w:rPr>
          <w:t>.</w:t>
        </w:r>
        <w:proofErr w:type="spellStart"/>
        <w:r w:rsidRPr="00C23947">
          <w:rPr>
            <w:rStyle w:val="a3"/>
            <w:rFonts w:ascii="PF Din Text Cond Pro" w:hAnsi="PF Din Text Cond Pro"/>
            <w:color w:val="auto"/>
            <w:sz w:val="32"/>
            <w:szCs w:val="32"/>
            <w:lang w:val="en-US"/>
          </w:rPr>
          <w:t>nalog</w:t>
        </w:r>
        <w:proofErr w:type="spellEnd"/>
        <w:r w:rsidRPr="00C23947">
          <w:rPr>
            <w:rStyle w:val="a3"/>
            <w:rFonts w:ascii="PF Din Text Cond Pro" w:hAnsi="PF Din Text Cond Pro"/>
            <w:color w:val="auto"/>
            <w:sz w:val="32"/>
            <w:szCs w:val="32"/>
          </w:rPr>
          <w:t>.</w:t>
        </w:r>
        <w:proofErr w:type="spellStart"/>
        <w:r w:rsidRPr="00C23947">
          <w:rPr>
            <w:rStyle w:val="a3"/>
            <w:rFonts w:ascii="PF Din Text Cond Pro" w:hAnsi="PF Din Text Cond Pro"/>
            <w:color w:val="auto"/>
            <w:sz w:val="32"/>
            <w:szCs w:val="32"/>
            <w:lang w:val="en-US"/>
          </w:rPr>
          <w:t>ru</w:t>
        </w:r>
        <w:proofErr w:type="spellEnd"/>
      </w:hyperlink>
      <w:r w:rsidRPr="00C23947">
        <w:rPr>
          <w:rFonts w:ascii="PF Din Text Cond Pro" w:hAnsi="PF Din Text Cond Pro"/>
          <w:sz w:val="32"/>
          <w:szCs w:val="32"/>
        </w:rPr>
        <w:t xml:space="preserve"> доступен интерактивный сервис «Личный кабинет налогоплательщика для физических лиц», который включает в себя в полном объеме функционал сервиса «Узнай свою задолженность». Интерактивный сервис «Личный кабинет налогоплательщика для физических лиц» (далее – ЛКФ) размещен в разделе «Электронные сервисы». ЛКФ позволяет налогоплательщику:</w:t>
      </w:r>
    </w:p>
    <w:p w:rsidR="00767362" w:rsidRPr="00C23947" w:rsidRDefault="00767362" w:rsidP="00767362">
      <w:pPr>
        <w:numPr>
          <w:ilvl w:val="0"/>
          <w:numId w:val="22"/>
        </w:numPr>
        <w:snapToGrid w:val="0"/>
        <w:spacing w:line="276" w:lineRule="auto"/>
        <w:ind w:left="709"/>
        <w:jc w:val="both"/>
        <w:rPr>
          <w:rFonts w:ascii="PF Din Text Cond Pro" w:hAnsi="PF Din Text Cond Pro"/>
          <w:sz w:val="32"/>
          <w:szCs w:val="32"/>
        </w:rPr>
      </w:pPr>
      <w:r w:rsidRPr="00C23947">
        <w:rPr>
          <w:rFonts w:ascii="PF Din Text Cond Pro" w:hAnsi="PF Din Text Cond Pro"/>
          <w:sz w:val="32"/>
          <w:szCs w:val="32"/>
        </w:rPr>
        <w:t>получать актуальную информацию об объектах имущества и транспортных средствах, о суммах начисленных и уплаченных налоговых платежей, о наличии переплат, о задолженности по налогам перед бюджетом;</w:t>
      </w:r>
    </w:p>
    <w:p w:rsidR="00767362" w:rsidRPr="00C23947" w:rsidRDefault="00767362" w:rsidP="00767362">
      <w:pPr>
        <w:numPr>
          <w:ilvl w:val="0"/>
          <w:numId w:val="22"/>
        </w:numPr>
        <w:snapToGrid w:val="0"/>
        <w:spacing w:line="276" w:lineRule="auto"/>
        <w:ind w:left="709"/>
        <w:jc w:val="both"/>
        <w:rPr>
          <w:rFonts w:ascii="PF Din Text Cond Pro" w:hAnsi="PF Din Text Cond Pro"/>
          <w:sz w:val="32"/>
          <w:szCs w:val="32"/>
        </w:rPr>
      </w:pPr>
      <w:r w:rsidRPr="00C23947">
        <w:rPr>
          <w:rFonts w:ascii="PF Din Text Cond Pro" w:hAnsi="PF Din Text Cond Pro"/>
          <w:sz w:val="32"/>
          <w:szCs w:val="32"/>
        </w:rPr>
        <w:t>контролировать состояние расчетов с бюджетом;</w:t>
      </w:r>
    </w:p>
    <w:p w:rsidR="00767362" w:rsidRPr="00C23947" w:rsidRDefault="00767362" w:rsidP="00767362">
      <w:pPr>
        <w:numPr>
          <w:ilvl w:val="0"/>
          <w:numId w:val="22"/>
        </w:numPr>
        <w:snapToGrid w:val="0"/>
        <w:spacing w:line="276" w:lineRule="auto"/>
        <w:ind w:left="709"/>
        <w:jc w:val="both"/>
        <w:rPr>
          <w:rFonts w:ascii="PF Din Text Cond Pro" w:hAnsi="PF Din Text Cond Pro"/>
          <w:sz w:val="32"/>
          <w:szCs w:val="32"/>
        </w:rPr>
      </w:pPr>
      <w:r w:rsidRPr="00C23947">
        <w:rPr>
          <w:rFonts w:ascii="PF Din Text Cond Pro" w:hAnsi="PF Din Text Cond Pro"/>
          <w:sz w:val="32"/>
          <w:szCs w:val="32"/>
        </w:rPr>
        <w:t>получать и распечатывать налоговые уведомления и квитанции на уплату налоговых платежей;</w:t>
      </w:r>
    </w:p>
    <w:p w:rsidR="00767362" w:rsidRPr="00C23947" w:rsidRDefault="00767362" w:rsidP="00767362">
      <w:pPr>
        <w:numPr>
          <w:ilvl w:val="0"/>
          <w:numId w:val="22"/>
        </w:numPr>
        <w:snapToGrid w:val="0"/>
        <w:spacing w:line="276" w:lineRule="auto"/>
        <w:ind w:left="709"/>
        <w:jc w:val="both"/>
        <w:rPr>
          <w:rFonts w:ascii="PF Din Text Cond Pro" w:hAnsi="PF Din Text Cond Pro"/>
          <w:sz w:val="32"/>
          <w:szCs w:val="32"/>
        </w:rPr>
      </w:pPr>
      <w:r w:rsidRPr="00C23947">
        <w:rPr>
          <w:rFonts w:ascii="PF Din Text Cond Pro" w:hAnsi="PF Din Text Cond Pro"/>
          <w:sz w:val="32"/>
          <w:szCs w:val="32"/>
        </w:rPr>
        <w:t>оплачивать налоговую задолженность и налоговые платежи (до наступления срока уплаты);</w:t>
      </w:r>
    </w:p>
    <w:p w:rsidR="00767362" w:rsidRPr="00C23947" w:rsidRDefault="00767362" w:rsidP="00767362">
      <w:pPr>
        <w:numPr>
          <w:ilvl w:val="0"/>
          <w:numId w:val="22"/>
        </w:numPr>
        <w:snapToGrid w:val="0"/>
        <w:spacing w:line="276" w:lineRule="auto"/>
        <w:ind w:left="709"/>
        <w:jc w:val="both"/>
        <w:rPr>
          <w:rFonts w:ascii="PF Din Text Cond Pro" w:hAnsi="PF Din Text Cond Pro"/>
          <w:sz w:val="32"/>
          <w:szCs w:val="32"/>
        </w:rPr>
      </w:pPr>
      <w:r w:rsidRPr="00C23947">
        <w:rPr>
          <w:rFonts w:ascii="PF Din Text Cond Pro" w:hAnsi="PF Din Text Cond Pro"/>
          <w:sz w:val="32"/>
          <w:szCs w:val="32"/>
        </w:rPr>
        <w:t xml:space="preserve">заполнять в режиме </w:t>
      </w:r>
      <w:proofErr w:type="spellStart"/>
      <w:r w:rsidRPr="00C23947">
        <w:rPr>
          <w:rFonts w:ascii="PF Din Text Cond Pro" w:hAnsi="PF Din Text Cond Pro"/>
          <w:sz w:val="32"/>
          <w:szCs w:val="32"/>
        </w:rPr>
        <w:t>онлайн</w:t>
      </w:r>
      <w:proofErr w:type="spellEnd"/>
      <w:r w:rsidRPr="00C23947">
        <w:rPr>
          <w:rFonts w:ascii="PF Din Text Cond Pro" w:hAnsi="PF Din Text Cond Pro"/>
          <w:sz w:val="32"/>
          <w:szCs w:val="32"/>
        </w:rPr>
        <w:t xml:space="preserve"> декларацию по налогу на доходы физических лиц по форме № 3-НДФЛ;</w:t>
      </w:r>
    </w:p>
    <w:p w:rsidR="00767362" w:rsidRPr="00C23947" w:rsidRDefault="00767362" w:rsidP="00767362">
      <w:pPr>
        <w:numPr>
          <w:ilvl w:val="0"/>
          <w:numId w:val="22"/>
        </w:numPr>
        <w:snapToGrid w:val="0"/>
        <w:spacing w:line="276" w:lineRule="auto"/>
        <w:ind w:left="709"/>
        <w:jc w:val="both"/>
        <w:rPr>
          <w:rFonts w:ascii="PF Din Text Cond Pro" w:hAnsi="PF Din Text Cond Pro"/>
          <w:sz w:val="32"/>
          <w:szCs w:val="32"/>
        </w:rPr>
      </w:pPr>
      <w:r w:rsidRPr="00C23947">
        <w:rPr>
          <w:rFonts w:ascii="PF Din Text Cond Pro" w:hAnsi="PF Din Text Cond Pro"/>
          <w:sz w:val="32"/>
          <w:szCs w:val="32"/>
        </w:rPr>
        <w:t>отслеживать статус камеральной проверки налоговых деклараций по форме № 3-НДФЛ;</w:t>
      </w:r>
    </w:p>
    <w:p w:rsidR="00767362" w:rsidRPr="00C23947" w:rsidRDefault="00767362" w:rsidP="00767362">
      <w:pPr>
        <w:numPr>
          <w:ilvl w:val="0"/>
          <w:numId w:val="22"/>
        </w:numPr>
        <w:snapToGrid w:val="0"/>
        <w:spacing w:line="276" w:lineRule="auto"/>
        <w:ind w:left="709"/>
        <w:jc w:val="both"/>
        <w:rPr>
          <w:rFonts w:ascii="PF Din Text Cond Pro" w:hAnsi="PF Din Text Cond Pro"/>
          <w:sz w:val="32"/>
          <w:szCs w:val="32"/>
        </w:rPr>
      </w:pPr>
      <w:r w:rsidRPr="00C23947">
        <w:rPr>
          <w:rFonts w:ascii="PF Din Text Cond Pro" w:hAnsi="PF Din Text Cond Pro"/>
          <w:sz w:val="32"/>
          <w:szCs w:val="32"/>
        </w:rPr>
        <w:t xml:space="preserve">обращаться в налоговые органы без личного визита в налоговую инспекцию. </w:t>
      </w:r>
    </w:p>
    <w:p w:rsidR="00767362" w:rsidRPr="00C23947" w:rsidRDefault="00767362" w:rsidP="00767362">
      <w:pPr>
        <w:spacing w:line="276" w:lineRule="auto"/>
        <w:ind w:firstLine="709"/>
        <w:jc w:val="both"/>
        <w:rPr>
          <w:rFonts w:ascii="PF Din Text Cond Pro" w:hAnsi="PF Din Text Cond Pro"/>
          <w:sz w:val="32"/>
          <w:szCs w:val="32"/>
        </w:rPr>
      </w:pPr>
      <w:r w:rsidRPr="00C23947">
        <w:rPr>
          <w:rFonts w:ascii="PF Din Text Cond Pro" w:hAnsi="PF Din Text Cond Pro"/>
          <w:sz w:val="32"/>
          <w:szCs w:val="32"/>
        </w:rPr>
        <w:lastRenderedPageBreak/>
        <w:t>В соответствии со статьей 102 Налогового Кодекса Российской Федерации сведения, содержащиеся в сервисе «Личный кабинет налогоплательщика для физических лиц», составляют налоговую тайну, в связи с чем, для доступа к ним необходимо подтвердить личность налогоплательщика.</w:t>
      </w:r>
    </w:p>
    <w:p w:rsidR="00767362" w:rsidRPr="00C23947" w:rsidRDefault="00767362" w:rsidP="00767362">
      <w:pPr>
        <w:spacing w:line="276" w:lineRule="auto"/>
        <w:ind w:firstLine="709"/>
        <w:jc w:val="both"/>
        <w:rPr>
          <w:rFonts w:ascii="PF Din Text Cond Pro" w:hAnsi="PF Din Text Cond Pro"/>
          <w:sz w:val="32"/>
          <w:szCs w:val="32"/>
        </w:rPr>
      </w:pPr>
      <w:r w:rsidRPr="00C23947">
        <w:rPr>
          <w:rFonts w:ascii="PF Din Text Cond Pro" w:hAnsi="PF Din Text Cond Pro"/>
          <w:sz w:val="32"/>
          <w:szCs w:val="32"/>
        </w:rPr>
        <w:t>Доступ к сервису ЛКФ осуществляется одним из двух способов: с помощью логина и пароля либо с помощью ключа электронной подписи.</w:t>
      </w:r>
    </w:p>
    <w:p w:rsidR="00767362" w:rsidRPr="00C23947" w:rsidRDefault="00767362" w:rsidP="00767362">
      <w:pPr>
        <w:spacing w:line="276" w:lineRule="auto"/>
        <w:ind w:firstLine="709"/>
        <w:jc w:val="both"/>
        <w:rPr>
          <w:rFonts w:ascii="PF Din Text Cond Pro" w:hAnsi="PF Din Text Cond Pro"/>
          <w:sz w:val="32"/>
          <w:szCs w:val="32"/>
        </w:rPr>
      </w:pPr>
      <w:r w:rsidRPr="00C23947">
        <w:rPr>
          <w:rFonts w:ascii="PF Din Text Cond Pro" w:hAnsi="PF Din Text Cond Pro"/>
          <w:sz w:val="32"/>
          <w:szCs w:val="32"/>
        </w:rPr>
        <w:t xml:space="preserve">Получить регистрационную карту, содержащую логин и пароль, Вы можете лично в любой инспекции ФНС России, независимо от места постановки на учет. </w:t>
      </w:r>
    </w:p>
    <w:p w:rsidR="00767362" w:rsidRPr="00C23947" w:rsidRDefault="00767362" w:rsidP="00767362">
      <w:pPr>
        <w:spacing w:line="276" w:lineRule="auto"/>
        <w:ind w:firstLine="709"/>
        <w:jc w:val="both"/>
        <w:rPr>
          <w:rFonts w:ascii="PF Din Text Cond Pro" w:hAnsi="PF Din Text Cond Pro"/>
          <w:sz w:val="32"/>
          <w:szCs w:val="32"/>
        </w:rPr>
      </w:pPr>
      <w:proofErr w:type="gramStart"/>
      <w:r w:rsidRPr="00C23947">
        <w:rPr>
          <w:rFonts w:ascii="PF Din Text Cond Pro" w:hAnsi="PF Din Text Cond Pro"/>
          <w:sz w:val="32"/>
          <w:szCs w:val="32"/>
        </w:rPr>
        <w:t>Доступ к ЛКФ также возможен с помощью ключа электронной подписи/</w:t>
      </w:r>
      <w:hyperlink r:id="rId8" w:history="1">
        <w:r w:rsidRPr="00C23947">
          <w:rPr>
            <w:rStyle w:val="a3"/>
            <w:rFonts w:ascii="PF Din Text Cond Pro" w:hAnsi="PF Din Text Cond Pro"/>
            <w:color w:val="auto"/>
            <w:sz w:val="32"/>
            <w:szCs w:val="32"/>
          </w:rPr>
          <w:t>Универсальной электронной карты</w:t>
        </w:r>
      </w:hyperlink>
      <w:r w:rsidRPr="00C23947">
        <w:rPr>
          <w:rFonts w:ascii="PF Din Text Cond Pro" w:hAnsi="PF Din Text Cond Pro"/>
          <w:sz w:val="32"/>
          <w:szCs w:val="32"/>
        </w:rPr>
        <w:t xml:space="preserve">. Сертификат ключа электронной подписи должен быть выдан удостоверяющим центром, входящим в сеть доверенных </w:t>
      </w:r>
      <w:hyperlink r:id="rId9" w:history="1">
        <w:r w:rsidRPr="00C23947">
          <w:rPr>
            <w:rStyle w:val="a3"/>
            <w:rFonts w:ascii="PF Din Text Cond Pro" w:hAnsi="PF Din Text Cond Pro"/>
            <w:color w:val="auto"/>
            <w:sz w:val="32"/>
            <w:szCs w:val="32"/>
          </w:rPr>
          <w:t>удостоверяющих центров ФНС России</w:t>
        </w:r>
      </w:hyperlink>
      <w:r w:rsidRPr="00C23947">
        <w:rPr>
          <w:rFonts w:ascii="PF Din Text Cond Pro" w:hAnsi="PF Din Text Cond Pro"/>
          <w:sz w:val="32"/>
          <w:szCs w:val="32"/>
        </w:rPr>
        <w:t>. Список удостоверяющих центров, аккредитованных в Сети доверенных удостоверяющих центров ФНС России (далее – список удостоверяющих центров), доступен для просмотра и скачивания на официальном сайте ФНС России (</w:t>
      </w:r>
      <w:hyperlink r:id="rId10" w:history="1">
        <w:r w:rsidRPr="00C23947">
          <w:rPr>
            <w:rStyle w:val="a3"/>
            <w:rFonts w:ascii="PF Din Text Cond Pro" w:hAnsi="PF Din Text Cond Pro"/>
            <w:color w:val="auto"/>
            <w:sz w:val="32"/>
            <w:szCs w:val="32"/>
          </w:rPr>
          <w:t>www.nalog.ru</w:t>
        </w:r>
      </w:hyperlink>
      <w:r w:rsidRPr="00C23947">
        <w:rPr>
          <w:rFonts w:ascii="PF Din Text Cond Pro" w:hAnsi="PF Din Text Cond Pro"/>
          <w:sz w:val="32"/>
          <w:szCs w:val="32"/>
        </w:rPr>
        <w:t>) в разделе</w:t>
      </w:r>
      <w:proofErr w:type="gramEnd"/>
      <w:r w:rsidRPr="00C23947">
        <w:rPr>
          <w:rFonts w:ascii="PF Din Text Cond Pro" w:hAnsi="PF Din Text Cond Pro"/>
          <w:sz w:val="32"/>
          <w:szCs w:val="32"/>
        </w:rPr>
        <w:t xml:space="preserve"> «Налогообложение в РФ» - «Представление налоговой и бухгалтерской отчетности» - «Новости по теме» (</w:t>
      </w:r>
      <w:hyperlink r:id="rId11" w:history="1">
        <w:r w:rsidRPr="00C23947">
          <w:rPr>
            <w:rStyle w:val="a3"/>
            <w:rFonts w:ascii="PF Din Text Cond Pro" w:hAnsi="PF Din Text Cond Pro"/>
            <w:color w:val="auto"/>
            <w:sz w:val="32"/>
            <w:szCs w:val="32"/>
          </w:rPr>
          <w:t>http://www.nalog.ru/rn77/taxation/submission_statements/</w:t>
        </w:r>
      </w:hyperlink>
      <w:r w:rsidRPr="00C23947">
        <w:rPr>
          <w:rFonts w:ascii="PF Din Text Cond Pro" w:hAnsi="PF Din Text Cond Pro"/>
          <w:sz w:val="32"/>
          <w:szCs w:val="32"/>
        </w:rPr>
        <w:t>).</w:t>
      </w:r>
    </w:p>
    <w:p w:rsidR="00767362" w:rsidRPr="00C23947" w:rsidRDefault="00767362" w:rsidP="00767362">
      <w:pPr>
        <w:spacing w:line="276" w:lineRule="auto"/>
        <w:ind w:firstLine="709"/>
        <w:jc w:val="both"/>
        <w:rPr>
          <w:rFonts w:ascii="PF Din Text Cond Pro" w:hAnsi="PF Din Text Cond Pro"/>
          <w:sz w:val="32"/>
          <w:szCs w:val="32"/>
        </w:rPr>
      </w:pPr>
      <w:proofErr w:type="gramStart"/>
      <w:r w:rsidRPr="00C23947">
        <w:rPr>
          <w:rFonts w:ascii="PF Din Text Cond Pro" w:hAnsi="PF Din Text Cond Pro"/>
          <w:sz w:val="32"/>
          <w:szCs w:val="32"/>
        </w:rPr>
        <w:t xml:space="preserve">Получить информацию о просроченной задолженности по транспортному, земельному налогам, по налогу на имущество и налогу на доходы физических лиц, а также по специальным налоговым режимам (УСН, ЕНВД, ЕСХН – для индивидуальных предпринимателей), без предварительной регистрации можно через региональный Интернет – сервис «Поиск задолженности» на сайте </w:t>
      </w:r>
      <w:hyperlink r:id="rId12" w:history="1">
        <w:r w:rsidRPr="00C23947">
          <w:rPr>
            <w:rStyle w:val="a3"/>
            <w:rFonts w:ascii="PF Din Text Cond Pro" w:hAnsi="PF Din Text Cond Pro"/>
            <w:color w:val="auto"/>
            <w:sz w:val="32"/>
            <w:szCs w:val="32"/>
            <w:lang w:val="en-US"/>
          </w:rPr>
          <w:t>www</w:t>
        </w:r>
        <w:r w:rsidRPr="00C23947">
          <w:rPr>
            <w:rStyle w:val="a3"/>
            <w:rFonts w:ascii="PF Din Text Cond Pro" w:hAnsi="PF Din Text Cond Pro"/>
            <w:color w:val="auto"/>
            <w:sz w:val="32"/>
            <w:szCs w:val="32"/>
          </w:rPr>
          <w:t>.</w:t>
        </w:r>
        <w:proofErr w:type="spellStart"/>
        <w:r w:rsidRPr="00C23947">
          <w:rPr>
            <w:rStyle w:val="a3"/>
            <w:rFonts w:ascii="PF Din Text Cond Pro" w:hAnsi="PF Din Text Cond Pro"/>
            <w:color w:val="auto"/>
            <w:sz w:val="32"/>
            <w:szCs w:val="32"/>
            <w:lang w:val="en-US"/>
          </w:rPr>
          <w:t>nalog</w:t>
        </w:r>
        <w:proofErr w:type="spellEnd"/>
        <w:r w:rsidRPr="00C23947">
          <w:rPr>
            <w:rStyle w:val="a3"/>
            <w:rFonts w:ascii="PF Din Text Cond Pro" w:hAnsi="PF Din Text Cond Pro"/>
            <w:color w:val="auto"/>
            <w:sz w:val="32"/>
            <w:szCs w:val="32"/>
          </w:rPr>
          <w:t>.</w:t>
        </w:r>
        <w:proofErr w:type="spellStart"/>
        <w:r w:rsidRPr="00C23947">
          <w:rPr>
            <w:rStyle w:val="a3"/>
            <w:rFonts w:ascii="PF Din Text Cond Pro" w:hAnsi="PF Din Text Cond Pro"/>
            <w:color w:val="auto"/>
            <w:sz w:val="32"/>
            <w:szCs w:val="32"/>
            <w:lang w:val="en-US"/>
          </w:rPr>
          <w:t>ru</w:t>
        </w:r>
        <w:proofErr w:type="spellEnd"/>
      </w:hyperlink>
      <w:r w:rsidRPr="00C23947">
        <w:rPr>
          <w:rFonts w:ascii="PF Din Text Cond Pro" w:hAnsi="PF Din Text Cond Pro"/>
          <w:sz w:val="32"/>
          <w:szCs w:val="32"/>
        </w:rPr>
        <w:t xml:space="preserve"> в разделе «Электронные сервисы».</w:t>
      </w:r>
      <w:proofErr w:type="gramEnd"/>
    </w:p>
    <w:p w:rsidR="00767362" w:rsidRPr="00C23947" w:rsidRDefault="00767362" w:rsidP="00767362">
      <w:pPr>
        <w:spacing w:line="276" w:lineRule="auto"/>
        <w:ind w:firstLine="709"/>
        <w:jc w:val="both"/>
        <w:rPr>
          <w:rFonts w:ascii="PF Din Text Cond Pro" w:hAnsi="PF Din Text Cond Pro"/>
          <w:sz w:val="32"/>
          <w:szCs w:val="32"/>
        </w:rPr>
      </w:pPr>
    </w:p>
    <w:p w:rsidR="00767362" w:rsidRPr="00C23947" w:rsidRDefault="00767362" w:rsidP="00767362">
      <w:pPr>
        <w:jc w:val="both"/>
        <w:rPr>
          <w:rFonts w:ascii="PF Din Text Cond Pro" w:hAnsi="PF Din Text Cond Pro"/>
          <w:sz w:val="32"/>
          <w:szCs w:val="32"/>
        </w:rPr>
      </w:pPr>
    </w:p>
    <w:p w:rsidR="00767362" w:rsidRPr="00C23947" w:rsidRDefault="00767362" w:rsidP="00767362">
      <w:pPr>
        <w:jc w:val="both"/>
        <w:rPr>
          <w:rFonts w:ascii="PF Din Text Cond Pro" w:hAnsi="PF Din Text Cond Pro"/>
          <w:sz w:val="32"/>
          <w:szCs w:val="32"/>
        </w:rPr>
      </w:pPr>
    </w:p>
    <w:p w:rsidR="00F44E84" w:rsidRPr="004072A2" w:rsidRDefault="00F44E84" w:rsidP="00F44E84">
      <w:pPr>
        <w:jc w:val="center"/>
        <w:rPr>
          <w:rFonts w:ascii="PF Din Text Cond Pro" w:hAnsi="PF Din Text Cond Pro"/>
          <w:b/>
          <w:sz w:val="32"/>
          <w:szCs w:val="32"/>
          <w:u w:val="single"/>
        </w:rPr>
      </w:pPr>
    </w:p>
    <w:sectPr w:rsidR="00F44E84" w:rsidRPr="004072A2" w:rsidSect="007766C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362" w:rsidRDefault="00767362">
      <w:r>
        <w:separator/>
      </w:r>
    </w:p>
  </w:endnote>
  <w:endnote w:type="continuationSeparator" w:id="0">
    <w:p w:rsidR="00767362" w:rsidRDefault="00767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F Din Text Cond Pro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00000001" w:usb1="5000E0FB" w:usb2="00000000" w:usb3="00000000" w:csb0="000001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362" w:rsidRDefault="0076736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767362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767362" w:rsidRPr="000C087A" w:rsidRDefault="00767362" w:rsidP="00620D29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Телефон: (351) 735-00-40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767362" w:rsidRDefault="0076736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362" w:rsidRDefault="0076736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362" w:rsidRDefault="00767362">
      <w:r>
        <w:separator/>
      </w:r>
    </w:p>
  </w:footnote>
  <w:footnote w:type="continuationSeparator" w:id="0">
    <w:p w:rsidR="00767362" w:rsidRDefault="007673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362" w:rsidRDefault="0076736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362" w:rsidRDefault="00767362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767362" w:rsidRDefault="00767362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767362" w:rsidRPr="007A28BB" w:rsidRDefault="00767362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767362" w:rsidRDefault="00767362" w:rsidP="00FE10DE">
    <w:pPr>
      <w:pStyle w:val="a7"/>
      <w:ind w:left="-10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362" w:rsidRDefault="0076736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3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982739"/>
    <w:multiLevelType w:val="hybridMultilevel"/>
    <w:tmpl w:val="C1C41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5"/>
  </w:num>
  <w:num w:numId="5">
    <w:abstractNumId w:val="16"/>
  </w:num>
  <w:num w:numId="6">
    <w:abstractNumId w:val="10"/>
  </w:num>
  <w:num w:numId="7">
    <w:abstractNumId w:val="0"/>
  </w:num>
  <w:num w:numId="8">
    <w:abstractNumId w:val="7"/>
  </w:num>
  <w:num w:numId="9">
    <w:abstractNumId w:val="17"/>
  </w:num>
  <w:num w:numId="10">
    <w:abstractNumId w:val="21"/>
  </w:num>
  <w:num w:numId="11">
    <w:abstractNumId w:val="20"/>
  </w:num>
  <w:num w:numId="12">
    <w:abstractNumId w:val="13"/>
  </w:num>
  <w:num w:numId="13">
    <w:abstractNumId w:val="9"/>
  </w:num>
  <w:num w:numId="14">
    <w:abstractNumId w:val="8"/>
  </w:num>
  <w:num w:numId="15">
    <w:abstractNumId w:val="1"/>
  </w:num>
  <w:num w:numId="16">
    <w:abstractNumId w:val="18"/>
  </w:num>
  <w:num w:numId="17">
    <w:abstractNumId w:val="5"/>
  </w:num>
  <w:num w:numId="18">
    <w:abstractNumId w:val="19"/>
  </w:num>
  <w:num w:numId="19">
    <w:abstractNumId w:val="14"/>
  </w:num>
  <w:num w:numId="20">
    <w:abstractNumId w:val="12"/>
  </w:num>
  <w:num w:numId="21">
    <w:abstractNumId w:val="3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9457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25677"/>
    <w:rsid w:val="000343D3"/>
    <w:rsid w:val="00054494"/>
    <w:rsid w:val="00062433"/>
    <w:rsid w:val="000839CF"/>
    <w:rsid w:val="00094FC4"/>
    <w:rsid w:val="000C087A"/>
    <w:rsid w:val="000E35BE"/>
    <w:rsid w:val="00104086"/>
    <w:rsid w:val="001B39B1"/>
    <w:rsid w:val="00240988"/>
    <w:rsid w:val="00262A54"/>
    <w:rsid w:val="0026330C"/>
    <w:rsid w:val="002B0566"/>
    <w:rsid w:val="00302E73"/>
    <w:rsid w:val="00314FF4"/>
    <w:rsid w:val="0033320B"/>
    <w:rsid w:val="00336279"/>
    <w:rsid w:val="0035083B"/>
    <w:rsid w:val="003642A3"/>
    <w:rsid w:val="00371906"/>
    <w:rsid w:val="00390C75"/>
    <w:rsid w:val="003B1038"/>
    <w:rsid w:val="003D17D5"/>
    <w:rsid w:val="004002A7"/>
    <w:rsid w:val="004072A2"/>
    <w:rsid w:val="004140B8"/>
    <w:rsid w:val="00443AD2"/>
    <w:rsid w:val="004F7095"/>
    <w:rsid w:val="00552CC2"/>
    <w:rsid w:val="005A4A5A"/>
    <w:rsid w:val="005A7951"/>
    <w:rsid w:val="005C7B2D"/>
    <w:rsid w:val="00620D29"/>
    <w:rsid w:val="006911D9"/>
    <w:rsid w:val="006A7EB9"/>
    <w:rsid w:val="006C06C4"/>
    <w:rsid w:val="006C1866"/>
    <w:rsid w:val="006D1BB1"/>
    <w:rsid w:val="006D4A40"/>
    <w:rsid w:val="00712734"/>
    <w:rsid w:val="00720F45"/>
    <w:rsid w:val="00767362"/>
    <w:rsid w:val="007766C8"/>
    <w:rsid w:val="00787AB9"/>
    <w:rsid w:val="007A5518"/>
    <w:rsid w:val="007A5DA1"/>
    <w:rsid w:val="007B6C38"/>
    <w:rsid w:val="007C2765"/>
    <w:rsid w:val="007C46A6"/>
    <w:rsid w:val="00820532"/>
    <w:rsid w:val="008626B7"/>
    <w:rsid w:val="00873CD1"/>
    <w:rsid w:val="008D0165"/>
    <w:rsid w:val="008E0DC5"/>
    <w:rsid w:val="00900314"/>
    <w:rsid w:val="00925A66"/>
    <w:rsid w:val="00940D40"/>
    <w:rsid w:val="00950BBD"/>
    <w:rsid w:val="00984527"/>
    <w:rsid w:val="00A32512"/>
    <w:rsid w:val="00A53558"/>
    <w:rsid w:val="00A7767B"/>
    <w:rsid w:val="00A931A0"/>
    <w:rsid w:val="00AA7140"/>
    <w:rsid w:val="00AB37B9"/>
    <w:rsid w:val="00AC6FB2"/>
    <w:rsid w:val="00AD2EB4"/>
    <w:rsid w:val="00AE3FA1"/>
    <w:rsid w:val="00B11ACA"/>
    <w:rsid w:val="00B37F29"/>
    <w:rsid w:val="00B42546"/>
    <w:rsid w:val="00B70B43"/>
    <w:rsid w:val="00B734DF"/>
    <w:rsid w:val="00B84C71"/>
    <w:rsid w:val="00C23947"/>
    <w:rsid w:val="00C4123A"/>
    <w:rsid w:val="00C41BBF"/>
    <w:rsid w:val="00C8601B"/>
    <w:rsid w:val="00CA1876"/>
    <w:rsid w:val="00D06283"/>
    <w:rsid w:val="00D20A5C"/>
    <w:rsid w:val="00D23601"/>
    <w:rsid w:val="00D8470F"/>
    <w:rsid w:val="00D84976"/>
    <w:rsid w:val="00D97234"/>
    <w:rsid w:val="00DC19C6"/>
    <w:rsid w:val="00DD3B34"/>
    <w:rsid w:val="00E117C4"/>
    <w:rsid w:val="00E44F39"/>
    <w:rsid w:val="00EF1CF0"/>
    <w:rsid w:val="00EF7641"/>
    <w:rsid w:val="00F44E84"/>
    <w:rsid w:val="00F67938"/>
    <w:rsid w:val="00FB214C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ecard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log.ru" TargetMode="External"/><Relationship Id="rId12" Type="http://schemas.openxmlformats.org/officeDocument/2006/relationships/hyperlink" Target="http://www.nalog.r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log.ru/rn77/taxation/submission_statement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nalog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log.ru/html/docs/uc/udost_centr.xls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 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subject/>
  <dc:creator>www.PHILka.RU</dc:creator>
  <cp:keywords/>
  <dc:description/>
  <cp:lastModifiedBy>7460-00-074</cp:lastModifiedBy>
  <cp:revision>7</cp:revision>
  <cp:lastPrinted>2013-05-28T08:32:00Z</cp:lastPrinted>
  <dcterms:created xsi:type="dcterms:W3CDTF">2014-01-17T04:50:00Z</dcterms:created>
  <dcterms:modified xsi:type="dcterms:W3CDTF">2014-01-27T04:14:00Z</dcterms:modified>
</cp:coreProperties>
</file>