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Default="00F44E84" w:rsidP="00A816B5">
      <w:pPr>
        <w:rPr>
          <w:szCs w:val="32"/>
        </w:rPr>
      </w:pPr>
    </w:p>
    <w:p w:rsidR="00F841DE" w:rsidRDefault="00F841DE" w:rsidP="0026667D">
      <w:pPr>
        <w:ind w:firstLine="567"/>
        <w:jc w:val="both"/>
        <w:rPr>
          <w:rFonts w:ascii="PF Din Text Cond Pro Thin" w:hAnsi="PF Din Text Cond Pro Thin"/>
          <w:sz w:val="28"/>
          <w:szCs w:val="28"/>
        </w:rPr>
      </w:pPr>
    </w:p>
    <w:p w:rsidR="00C34911" w:rsidRPr="00B723EA" w:rsidRDefault="00C34911" w:rsidP="0026667D">
      <w:pPr>
        <w:ind w:firstLine="567"/>
        <w:jc w:val="both"/>
        <w:rPr>
          <w:rFonts w:ascii="PF Din Text Cond Pro Thin" w:hAnsi="PF Din Text Cond Pro Thin"/>
          <w:sz w:val="32"/>
          <w:szCs w:val="32"/>
        </w:rPr>
      </w:pPr>
      <w:proofErr w:type="gramStart"/>
      <w:r w:rsidRPr="00B723EA">
        <w:rPr>
          <w:rFonts w:ascii="PF Din Text Cond Pro Thin" w:hAnsi="PF Din Text Cond Pro Thin"/>
          <w:sz w:val="32"/>
          <w:szCs w:val="32"/>
        </w:rPr>
        <w:t xml:space="preserve">В соответствии с </w:t>
      </w:r>
      <w:hyperlink r:id="rId7" w:history="1">
        <w:r w:rsidRPr="00B723EA">
          <w:rPr>
            <w:rFonts w:ascii="PF Din Text Cond Pro Thin" w:hAnsi="PF Din Text Cond Pro Thin"/>
            <w:sz w:val="32"/>
            <w:szCs w:val="32"/>
          </w:rPr>
          <w:t>пунктом 6 статьи 105.3</w:t>
        </w:r>
      </w:hyperlink>
      <w:r w:rsidRPr="00B723EA">
        <w:rPr>
          <w:rFonts w:ascii="PF Din Text Cond Pro Thin" w:hAnsi="PF Din Text Cond Pro Thin"/>
          <w:sz w:val="32"/>
          <w:szCs w:val="32"/>
        </w:rPr>
        <w:t xml:space="preserve"> </w:t>
      </w:r>
      <w:r w:rsidR="0026667D" w:rsidRPr="00B723EA">
        <w:rPr>
          <w:rFonts w:ascii="PF Din Text Cond Pro Thin" w:hAnsi="PF Din Text Cond Pro Thin"/>
          <w:bCs/>
          <w:sz w:val="32"/>
          <w:szCs w:val="32"/>
        </w:rPr>
        <w:t xml:space="preserve">Налогового кодекса Российской Федерации (далее – Кодекс) </w:t>
      </w:r>
      <w:r w:rsidRPr="00B723EA">
        <w:rPr>
          <w:rFonts w:ascii="PF Din Text Cond Pro Thin" w:hAnsi="PF Din Text Cond Pro Thin"/>
          <w:sz w:val="32"/>
          <w:szCs w:val="32"/>
        </w:rPr>
        <w:t xml:space="preserve"> в случае применения налогоплательщиком в сделке между взаимозависимыми лицами цен товаров (работ, услуг), не соответствующих рыночным ценам, если указанное </w:t>
      </w:r>
      <w:r w:rsidRPr="00B723EA">
        <w:rPr>
          <w:rFonts w:ascii="PF Din Text Cond Pro X Thin" w:hAnsi="PF Din Text Cond Pro X Thin"/>
          <w:sz w:val="32"/>
          <w:szCs w:val="32"/>
        </w:rPr>
        <w:t>несоответствие</w:t>
      </w:r>
      <w:r w:rsidRPr="00B723EA">
        <w:rPr>
          <w:rFonts w:ascii="PF Din Text Cond Pro Thin" w:hAnsi="PF Din Text Cond Pro Thin"/>
          <w:sz w:val="32"/>
          <w:szCs w:val="32"/>
        </w:rPr>
        <w:t xml:space="preserve"> повлекло занижение сумм одного или нескольких налогов (авансовых платежей), указанных в </w:t>
      </w:r>
      <w:hyperlink r:id="rId8" w:history="1">
        <w:r w:rsidRPr="00B723EA">
          <w:rPr>
            <w:rFonts w:ascii="PF Din Text Cond Pro Thin" w:hAnsi="PF Din Text Cond Pro Thin"/>
            <w:sz w:val="32"/>
            <w:szCs w:val="32"/>
          </w:rPr>
          <w:t>пункте 4 статьи 105.3</w:t>
        </w:r>
      </w:hyperlink>
      <w:r w:rsidRPr="00B723EA">
        <w:rPr>
          <w:rFonts w:ascii="PF Din Text Cond Pro Thin" w:hAnsi="PF Din Text Cond Pro Thin"/>
          <w:sz w:val="32"/>
          <w:szCs w:val="32"/>
        </w:rPr>
        <w:t xml:space="preserve"> Кодекса, налогоплательщик вправе самостоятельно произвести корректировку налоговой базы и сумм соответствующих налогов</w:t>
      </w:r>
      <w:proofErr w:type="gramEnd"/>
      <w:r w:rsidRPr="00B723EA">
        <w:rPr>
          <w:rFonts w:ascii="PF Din Text Cond Pro Thin" w:hAnsi="PF Din Text Cond Pro Thin"/>
          <w:sz w:val="32"/>
          <w:szCs w:val="32"/>
        </w:rPr>
        <w:t xml:space="preserve"> по истечении календарного года, включающего налоговый период (налоговые периоды) по налогам, суммы которых подлежат корректировке.</w:t>
      </w:r>
    </w:p>
    <w:p w:rsidR="00C34911" w:rsidRPr="00B723EA" w:rsidRDefault="00C34911" w:rsidP="00C34911">
      <w:pPr>
        <w:autoSpaceDE w:val="0"/>
        <w:autoSpaceDN w:val="0"/>
        <w:adjustRightInd w:val="0"/>
        <w:ind w:firstLine="567"/>
        <w:jc w:val="both"/>
        <w:rPr>
          <w:rFonts w:ascii="PF Din Text Cond Pro Thin" w:hAnsi="PF Din Text Cond Pro Thin"/>
          <w:sz w:val="32"/>
          <w:szCs w:val="32"/>
        </w:rPr>
      </w:pPr>
      <w:r w:rsidRPr="00B723EA">
        <w:rPr>
          <w:rFonts w:ascii="PF Din Text Cond Pro Thin" w:hAnsi="PF Din Text Cond Pro Thin"/>
          <w:sz w:val="32"/>
          <w:szCs w:val="32"/>
        </w:rPr>
        <w:t xml:space="preserve">Сумма недоимки, выявленной налогоплательщиком самостоятельно по результатам произведенной самостоятельной корректировки, должна быть погашена в срок не позднее даты уплаты налога на прибыль организаций (налога на доходы физических лиц) за соответствующий налоговый период. </w:t>
      </w:r>
      <w:proofErr w:type="gramStart"/>
      <w:r w:rsidRPr="00B723EA">
        <w:rPr>
          <w:rFonts w:ascii="PF Din Text Cond Pro Thin" w:hAnsi="PF Din Text Cond Pro Thin"/>
          <w:sz w:val="32"/>
          <w:szCs w:val="32"/>
        </w:rPr>
        <w:t>При этом за период с даты возникновения недоимки до даты истечения установленного срока ее погашения пени на сумму</w:t>
      </w:r>
      <w:proofErr w:type="gramEnd"/>
      <w:r w:rsidRPr="00B723EA">
        <w:rPr>
          <w:rFonts w:ascii="PF Din Text Cond Pro Thin" w:hAnsi="PF Din Text Cond Pro Thin"/>
          <w:sz w:val="32"/>
          <w:szCs w:val="32"/>
        </w:rPr>
        <w:t xml:space="preserve"> недоимки не начисляются.</w:t>
      </w:r>
    </w:p>
    <w:p w:rsidR="00C34911" w:rsidRPr="00B723EA" w:rsidRDefault="00C34911" w:rsidP="00C34911">
      <w:pPr>
        <w:autoSpaceDE w:val="0"/>
        <w:autoSpaceDN w:val="0"/>
        <w:adjustRightInd w:val="0"/>
        <w:ind w:firstLine="567"/>
        <w:jc w:val="both"/>
        <w:rPr>
          <w:rFonts w:ascii="PF Din Text Cond Pro Thin" w:hAnsi="PF Din Text Cond Pro Thin"/>
          <w:sz w:val="32"/>
          <w:szCs w:val="32"/>
        </w:rPr>
      </w:pPr>
      <w:proofErr w:type="gramStart"/>
      <w:r w:rsidRPr="00B723EA">
        <w:rPr>
          <w:rFonts w:ascii="PF Din Text Cond Pro Thin" w:hAnsi="PF Din Text Cond Pro Thin"/>
          <w:sz w:val="32"/>
          <w:szCs w:val="32"/>
        </w:rPr>
        <w:t xml:space="preserve">До внесения изменений (дополнений) в </w:t>
      </w:r>
      <w:hyperlink r:id="rId9" w:history="1">
        <w:r w:rsidRPr="00B723EA">
          <w:rPr>
            <w:rFonts w:ascii="PF Din Text Cond Pro Thin" w:hAnsi="PF Din Text Cond Pro Thin"/>
            <w:sz w:val="32"/>
            <w:szCs w:val="32"/>
          </w:rPr>
          <w:t>формы</w:t>
        </w:r>
      </w:hyperlink>
      <w:r w:rsidRPr="00B723EA">
        <w:rPr>
          <w:rFonts w:ascii="PF Din Text Cond Pro Thin" w:hAnsi="PF Din Text Cond Pro Thin"/>
          <w:sz w:val="32"/>
          <w:szCs w:val="32"/>
        </w:rPr>
        <w:t xml:space="preserve"> налоговых деклараций по налогу на прибыль организаций, по налогу на добавленную стоимость, по налогу на добычу полезных ископаемых и по налогу на доходы физических лиц и </w:t>
      </w:r>
      <w:hyperlink r:id="rId10" w:history="1">
        <w:r w:rsidRPr="00B723EA">
          <w:rPr>
            <w:rFonts w:ascii="PF Din Text Cond Pro Thin" w:hAnsi="PF Din Text Cond Pro Thin"/>
            <w:sz w:val="32"/>
            <w:szCs w:val="32"/>
          </w:rPr>
          <w:t>порядки</w:t>
        </w:r>
      </w:hyperlink>
      <w:r w:rsidRPr="00B723EA">
        <w:rPr>
          <w:rFonts w:ascii="PF Din Text Cond Pro Thin" w:hAnsi="PF Din Text Cond Pro Thin"/>
          <w:sz w:val="32"/>
          <w:szCs w:val="32"/>
        </w:rPr>
        <w:t xml:space="preserve"> заполнения указанных налоговых деклараций, налогоплательщикам при отражении самостоятельных корректировок следует руководствоваться, соответственно, письмами ФНС России от 11.02.2013 </w:t>
      </w:r>
      <w:hyperlink r:id="rId11" w:history="1">
        <w:r w:rsidRPr="00B723EA">
          <w:rPr>
            <w:rFonts w:ascii="PF Din Text Cond Pro Thin" w:hAnsi="PF Din Text Cond Pro Thin"/>
            <w:sz w:val="32"/>
            <w:szCs w:val="32"/>
          </w:rPr>
          <w:t>№ ЕД-4-3/2113@</w:t>
        </w:r>
      </w:hyperlink>
      <w:r w:rsidRPr="00B723EA">
        <w:rPr>
          <w:rFonts w:ascii="PF Din Text Cond Pro Thin" w:hAnsi="PF Din Text Cond Pro Thin"/>
          <w:sz w:val="32"/>
          <w:szCs w:val="32"/>
        </w:rPr>
        <w:t xml:space="preserve">, 14.03.2013 </w:t>
      </w:r>
      <w:hyperlink r:id="rId12" w:history="1">
        <w:r w:rsidRPr="00B723EA">
          <w:rPr>
            <w:rFonts w:ascii="PF Din Text Cond Pro Thin" w:hAnsi="PF Din Text Cond Pro Thin"/>
            <w:sz w:val="32"/>
            <w:szCs w:val="32"/>
          </w:rPr>
          <w:t>№ ЕД-4-3/4303@</w:t>
        </w:r>
      </w:hyperlink>
      <w:r w:rsidRPr="00B723EA">
        <w:rPr>
          <w:rFonts w:ascii="PF Din Text Cond Pro Thin" w:hAnsi="PF Din Text Cond Pro Thin"/>
          <w:sz w:val="32"/>
          <w:szCs w:val="32"/>
        </w:rPr>
        <w:t xml:space="preserve">, 03.04.2013 </w:t>
      </w:r>
      <w:hyperlink r:id="rId13" w:history="1">
        <w:r w:rsidRPr="00B723EA">
          <w:rPr>
            <w:rFonts w:ascii="PF Din Text Cond Pro Thin" w:hAnsi="PF Din Text Cond Pro Thin"/>
            <w:sz w:val="32"/>
            <w:szCs w:val="32"/>
          </w:rPr>
          <w:t>№ ЕД-4-3/5938@</w:t>
        </w:r>
      </w:hyperlink>
      <w:r w:rsidRPr="00B723EA">
        <w:rPr>
          <w:rFonts w:ascii="PF Din Text Cond Pro Thin" w:hAnsi="PF Din Text Cond Pro Thin"/>
          <w:sz w:val="32"/>
          <w:szCs w:val="32"/>
        </w:rPr>
        <w:t xml:space="preserve">, 15.04.2013 </w:t>
      </w:r>
      <w:hyperlink r:id="rId14" w:history="1">
        <w:r w:rsidRPr="00B723EA">
          <w:rPr>
            <w:rFonts w:ascii="PF Din Text Cond Pro Thin" w:hAnsi="PF Din Text Cond Pro Thin"/>
            <w:sz w:val="32"/>
            <w:szCs w:val="32"/>
          </w:rPr>
          <w:t>№ ЕД-4-3</w:t>
        </w:r>
        <w:proofErr w:type="gramEnd"/>
        <w:r w:rsidRPr="00B723EA">
          <w:rPr>
            <w:rFonts w:ascii="PF Din Text Cond Pro Thin" w:hAnsi="PF Din Text Cond Pro Thin"/>
            <w:sz w:val="32"/>
            <w:szCs w:val="32"/>
          </w:rPr>
          <w:t>/6824@</w:t>
        </w:r>
      </w:hyperlink>
      <w:r w:rsidRPr="00B723EA">
        <w:rPr>
          <w:rFonts w:ascii="PF Din Text Cond Pro Thin" w:hAnsi="PF Din Text Cond Pro Thin"/>
          <w:sz w:val="32"/>
          <w:szCs w:val="32"/>
        </w:rPr>
        <w:t>.</w:t>
      </w:r>
    </w:p>
    <w:p w:rsidR="00C34911" w:rsidRPr="00B723EA" w:rsidRDefault="00C34911" w:rsidP="00C34911">
      <w:pPr>
        <w:autoSpaceDE w:val="0"/>
        <w:autoSpaceDN w:val="0"/>
        <w:adjustRightInd w:val="0"/>
        <w:ind w:firstLine="540"/>
        <w:jc w:val="both"/>
        <w:rPr>
          <w:rFonts w:ascii="PF Din Text Cond Pro Thin" w:hAnsi="PF Din Text Cond Pro Thin"/>
          <w:sz w:val="32"/>
          <w:szCs w:val="32"/>
        </w:rPr>
      </w:pPr>
    </w:p>
    <w:p w:rsidR="00C34911" w:rsidRPr="00B723EA" w:rsidRDefault="00C34911" w:rsidP="00C34911">
      <w:pPr>
        <w:autoSpaceDE w:val="0"/>
        <w:autoSpaceDN w:val="0"/>
        <w:adjustRightInd w:val="0"/>
        <w:ind w:firstLine="540"/>
        <w:jc w:val="both"/>
        <w:rPr>
          <w:rFonts w:ascii="PF Din Text Cond Pro Thin" w:hAnsi="PF Din Text Cond Pro Thin"/>
          <w:sz w:val="32"/>
          <w:szCs w:val="32"/>
        </w:rPr>
      </w:pPr>
    </w:p>
    <w:p w:rsidR="00C34911" w:rsidRPr="00B723EA" w:rsidRDefault="00C34911" w:rsidP="00C34911">
      <w:pPr>
        <w:autoSpaceDE w:val="0"/>
        <w:autoSpaceDN w:val="0"/>
        <w:adjustRightInd w:val="0"/>
        <w:ind w:firstLine="540"/>
        <w:jc w:val="both"/>
        <w:rPr>
          <w:rFonts w:ascii="PF Din Text Cond Pro Thin" w:hAnsi="PF Din Text Cond Pro Thin"/>
          <w:sz w:val="32"/>
          <w:szCs w:val="32"/>
        </w:rPr>
      </w:pPr>
    </w:p>
    <w:p w:rsidR="00C34911" w:rsidRPr="00B723EA" w:rsidRDefault="00C34911" w:rsidP="00A816B5">
      <w:pPr>
        <w:rPr>
          <w:sz w:val="32"/>
          <w:szCs w:val="32"/>
        </w:rPr>
      </w:pPr>
    </w:p>
    <w:sectPr w:rsidR="00C34911" w:rsidRPr="00B723EA" w:rsidSect="007766C8">
      <w:headerReference w:type="default" r:id="rId15"/>
      <w:footerReference w:type="default" r:id="rId16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DE" w:rsidRDefault="00F841DE">
      <w:r>
        <w:separator/>
      </w:r>
    </w:p>
  </w:endnote>
  <w:endnote w:type="continuationSeparator" w:id="0">
    <w:p w:rsidR="00F841DE" w:rsidRDefault="00F8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X Thin">
    <w:panose1 w:val="02000000000000000000"/>
    <w:charset w:val="00"/>
    <w:family w:val="auto"/>
    <w:pitch w:val="variable"/>
    <w:sig w:usb0="A00002BF" w:usb1="5000E0FB" w:usb2="00000000" w:usb3="00000000" w:csb0="00000009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F841DE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F841DE" w:rsidRPr="000C087A" w:rsidRDefault="00F841DE" w:rsidP="001C5CF1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F841DE" w:rsidRDefault="00F841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DE" w:rsidRDefault="00F841DE">
      <w:r>
        <w:separator/>
      </w:r>
    </w:p>
  </w:footnote>
  <w:footnote w:type="continuationSeparator" w:id="0">
    <w:p w:rsidR="00F841DE" w:rsidRDefault="00F84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DE" w:rsidRDefault="00F841D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F841DE" w:rsidRDefault="00F841D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F841DE" w:rsidRPr="007A28BB" w:rsidRDefault="00F841DE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841DE" w:rsidRDefault="00F841DE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20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12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945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1C5CF1"/>
    <w:rsid w:val="00237D74"/>
    <w:rsid w:val="00240988"/>
    <w:rsid w:val="002562C0"/>
    <w:rsid w:val="00262A54"/>
    <w:rsid w:val="0026330C"/>
    <w:rsid w:val="0026667D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F7095"/>
    <w:rsid w:val="00552CC2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373E8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40D40"/>
    <w:rsid w:val="00950BBD"/>
    <w:rsid w:val="00984527"/>
    <w:rsid w:val="00A32512"/>
    <w:rsid w:val="00A53558"/>
    <w:rsid w:val="00A75642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23EA"/>
    <w:rsid w:val="00B734DF"/>
    <w:rsid w:val="00B84C71"/>
    <w:rsid w:val="00C3491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204A1"/>
    <w:rsid w:val="00E44F39"/>
    <w:rsid w:val="00EA7C71"/>
    <w:rsid w:val="00EF1CF0"/>
    <w:rsid w:val="00EF7641"/>
    <w:rsid w:val="00F44E84"/>
    <w:rsid w:val="00F67938"/>
    <w:rsid w:val="00F841DE"/>
    <w:rsid w:val="00FB214C"/>
    <w:rsid w:val="00FB24BB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A1CBF3335A304FA51574649F108ACB0CA550E4A19F063026A9BC519499075295AE6307748u0C1M" TargetMode="External"/><Relationship Id="rId13" Type="http://schemas.openxmlformats.org/officeDocument/2006/relationships/hyperlink" Target="consultantplus://offline/ref=B0AA1CBF3335A304FA51574649F108ACB0CB550A4A16F063026A9BC519u4C9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AA1CBF3335A304FA51574649F108ACB0CA550E4A19F063026A9BC519499075295AE6307749u0C5M" TargetMode="External"/><Relationship Id="rId12" Type="http://schemas.openxmlformats.org/officeDocument/2006/relationships/hyperlink" Target="consultantplus://offline/ref=B0AA1CBF3335A304FA51574649F108ACB0CB520B4917F063026A9BC519u4C9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AA1CBF3335A304FA51574649F108ACB0CC51064A1CF063026A9BC519u4C9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4EA66FA58019FF60FB34BF116EC5E0C64885209DE8888C2DF1AA3C7CD0CEE720953C4A1851C595u1H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EA66FA58019FF60FB34BF116EC5E0C64885209DE8888C2DF1AA3C7CD0CEE720953C4A1850C194u1HEM" TargetMode="External"/><Relationship Id="rId14" Type="http://schemas.openxmlformats.org/officeDocument/2006/relationships/hyperlink" Target="consultantplus://offline/ref=B0AA1CBF3335A304FA51574649F108ACB0CB540E4D17F063026A9BC519u4C9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2013-05-28T08:32:00Z</cp:lastPrinted>
  <dcterms:created xsi:type="dcterms:W3CDTF">2014-01-22T10:03:00Z</dcterms:created>
  <dcterms:modified xsi:type="dcterms:W3CDTF">2014-01-22T10:03:00Z</dcterms:modified>
</cp:coreProperties>
</file>