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9A" w:rsidRDefault="00C4649A" w:rsidP="000761A1">
      <w:pPr>
        <w:pStyle w:val="a5"/>
        <w:jc w:val="center"/>
      </w:pPr>
    </w:p>
    <w:p w:rsidR="00D017D8" w:rsidRDefault="0038359C" w:rsidP="0038359C">
      <w:pPr>
        <w:pStyle w:val="a5"/>
      </w:pPr>
      <w:r>
        <w:t xml:space="preserve">                           </w:t>
      </w:r>
      <w:r w:rsidR="008865F5">
        <w:t xml:space="preserve">                   </w:t>
      </w:r>
    </w:p>
    <w:p w:rsidR="00D017D8" w:rsidRDefault="008865F5" w:rsidP="00D017D8">
      <w:pPr>
        <w:pStyle w:val="a5"/>
        <w:jc w:val="center"/>
      </w:pPr>
      <w:r>
        <w:t>ДИАГРАММА</w:t>
      </w:r>
      <w:r w:rsidR="004A7E14">
        <w:t xml:space="preserve"> № 1</w:t>
      </w:r>
      <w:r w:rsidR="0038359C">
        <w:t xml:space="preserve">                                                                                                   </w:t>
      </w:r>
      <w:r>
        <w:t xml:space="preserve">                            </w:t>
      </w:r>
    </w:p>
    <w:p w:rsidR="007E1DF8" w:rsidRDefault="008865F5" w:rsidP="00D017D8">
      <w:pPr>
        <w:pStyle w:val="a5"/>
        <w:jc w:val="center"/>
      </w:pPr>
      <w:r>
        <w:t xml:space="preserve"> </w:t>
      </w:r>
      <w:r w:rsidR="006E2325">
        <w:t>Общее количество</w:t>
      </w:r>
      <w:r w:rsidR="004A7E14">
        <w:t xml:space="preserve"> обращений и заявок</w:t>
      </w:r>
      <w:r w:rsidR="00AF17C8" w:rsidRPr="000761A1">
        <w:t xml:space="preserve"> собственников </w:t>
      </w:r>
      <w:r w:rsidR="006E2325">
        <w:t xml:space="preserve">в Компанию </w:t>
      </w:r>
      <w:r w:rsidR="007E1DF8">
        <w:t xml:space="preserve">за 10 месяцев </w:t>
      </w:r>
    </w:p>
    <w:p w:rsidR="00D017D8" w:rsidRDefault="007E1DF8" w:rsidP="00D017D8">
      <w:pPr>
        <w:pStyle w:val="a5"/>
        <w:jc w:val="center"/>
        <w:rPr>
          <w:sz w:val="16"/>
          <w:szCs w:val="16"/>
        </w:rPr>
      </w:pPr>
      <w:r>
        <w:t>(</w:t>
      </w:r>
      <w:r w:rsidR="00AF17C8" w:rsidRPr="000761A1">
        <w:t>с</w:t>
      </w:r>
      <w:r w:rsidR="00477BA0">
        <w:t xml:space="preserve"> </w:t>
      </w:r>
      <w:r w:rsidR="00AF17C8" w:rsidRPr="000761A1">
        <w:t xml:space="preserve"> </w:t>
      </w:r>
      <w:r w:rsidR="00BB5689">
        <w:t xml:space="preserve">1 </w:t>
      </w:r>
      <w:r w:rsidR="00AF17C8" w:rsidRPr="000761A1">
        <w:t xml:space="preserve">мая 2014г. по </w:t>
      </w:r>
      <w:r w:rsidR="00D017D8">
        <w:t>28</w:t>
      </w:r>
      <w:r w:rsidR="00B971F5">
        <w:t xml:space="preserve"> </w:t>
      </w:r>
      <w:r w:rsidR="00D017D8">
        <w:t>февраля</w:t>
      </w:r>
      <w:r w:rsidR="00AF17C8" w:rsidRPr="000761A1">
        <w:t xml:space="preserve"> 201</w:t>
      </w:r>
      <w:r w:rsidR="0004629B">
        <w:t>5</w:t>
      </w:r>
      <w:r w:rsidR="00AF17C8" w:rsidRPr="000761A1">
        <w:t>г.</w:t>
      </w:r>
      <w:r>
        <w:t>)</w:t>
      </w:r>
      <w:r w:rsidR="0038359C">
        <w:t xml:space="preserve">     </w:t>
      </w:r>
      <w:r w:rsidR="0038359C" w:rsidRPr="0038359C">
        <w:t xml:space="preserve"> </w:t>
      </w:r>
      <w:r w:rsidR="006F4CA6">
        <w:t xml:space="preserve">            </w:t>
      </w:r>
      <w:r w:rsidR="00B971F5">
        <w:t xml:space="preserve">  </w:t>
      </w:r>
      <w:r w:rsidR="0038359C">
        <w:rPr>
          <w:sz w:val="16"/>
          <w:szCs w:val="16"/>
        </w:rPr>
        <w:t xml:space="preserve">                                               </w:t>
      </w:r>
    </w:p>
    <w:p w:rsidR="0038359C" w:rsidRDefault="0038359C" w:rsidP="004A7E14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761A1" w:rsidRPr="000761A1">
        <w:rPr>
          <w:sz w:val="16"/>
          <w:szCs w:val="16"/>
        </w:rPr>
        <w:t>(</w:t>
      </w:r>
      <w:r w:rsidR="000761A1">
        <w:rPr>
          <w:sz w:val="16"/>
          <w:szCs w:val="16"/>
        </w:rPr>
        <w:t xml:space="preserve">всего: </w:t>
      </w:r>
      <w:r w:rsidR="00D017D8">
        <w:rPr>
          <w:sz w:val="16"/>
          <w:szCs w:val="16"/>
        </w:rPr>
        <w:t>заявлений – 48</w:t>
      </w:r>
      <w:r w:rsidR="004F77C1">
        <w:rPr>
          <w:sz w:val="16"/>
          <w:szCs w:val="16"/>
        </w:rPr>
        <w:t>9, заявок – 3815</w:t>
      </w:r>
      <w:r w:rsidR="000761A1" w:rsidRPr="000761A1">
        <w:rPr>
          <w:sz w:val="16"/>
          <w:szCs w:val="16"/>
        </w:rPr>
        <w:t>)</w:t>
      </w:r>
    </w:p>
    <w:p w:rsidR="000761A1" w:rsidRPr="000761A1" w:rsidRDefault="000761A1" w:rsidP="000761A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BB5689" w:rsidRDefault="000761A1" w:rsidP="000761A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7F45">
        <w:rPr>
          <w:noProof/>
          <w:color w:val="FFFF00"/>
          <w:shd w:val="clear" w:color="auto" w:fill="FFFF00"/>
          <w:lang w:eastAsia="ru-RU"/>
        </w:rPr>
        <w:drawing>
          <wp:inline distT="0" distB="0" distL="0" distR="0">
            <wp:extent cx="9953625" cy="23907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E14" w:rsidRDefault="004A7E14" w:rsidP="00BB5689">
      <w:pPr>
        <w:pStyle w:val="a5"/>
        <w:jc w:val="center"/>
      </w:pPr>
    </w:p>
    <w:p w:rsidR="00C4649A" w:rsidRDefault="007E1DF8" w:rsidP="00BB5689">
      <w:pPr>
        <w:pStyle w:val="a5"/>
        <w:jc w:val="center"/>
      </w:pPr>
      <w:r>
        <w:t>ДОКУМЕНТООБОРОТ</w:t>
      </w:r>
    </w:p>
    <w:p w:rsidR="004A7E14" w:rsidRPr="007E1DF8" w:rsidRDefault="007E1DF8" w:rsidP="007E1DF8">
      <w:pPr>
        <w:pStyle w:val="a5"/>
        <w:jc w:val="center"/>
      </w:pPr>
      <w:r>
        <w:t>за 10 месяцев (</w:t>
      </w:r>
      <w:r w:rsidR="004A7E14" w:rsidRPr="000761A1">
        <w:t>с</w:t>
      </w:r>
      <w:r w:rsidR="004A7E14">
        <w:t xml:space="preserve"> </w:t>
      </w:r>
      <w:r w:rsidR="004A7E14" w:rsidRPr="000761A1">
        <w:t xml:space="preserve"> </w:t>
      </w:r>
      <w:r w:rsidR="004A7E14">
        <w:t xml:space="preserve">1 </w:t>
      </w:r>
      <w:r w:rsidR="004A7E14" w:rsidRPr="000761A1">
        <w:t xml:space="preserve">мая 2014г. по </w:t>
      </w:r>
      <w:r w:rsidR="004A7E14">
        <w:t>28 февраля</w:t>
      </w:r>
      <w:r w:rsidR="004A7E14" w:rsidRPr="000761A1">
        <w:t xml:space="preserve"> 201</w:t>
      </w:r>
      <w:r w:rsidR="004A7E14">
        <w:t>5</w:t>
      </w:r>
      <w:r w:rsidR="004A7E14" w:rsidRPr="000761A1">
        <w:t>г.</w:t>
      </w:r>
      <w:r>
        <w:t>)</w:t>
      </w:r>
      <w:r w:rsidR="004A7E14">
        <w:t xml:space="preserve">     </w:t>
      </w:r>
      <w:r w:rsidR="004A7E14" w:rsidRPr="0038359C">
        <w:t xml:space="preserve"> </w:t>
      </w:r>
      <w:r w:rsidR="004A7E14">
        <w:t xml:space="preserve">              </w:t>
      </w:r>
      <w:r w:rsidR="004A7E14">
        <w:rPr>
          <w:sz w:val="16"/>
          <w:szCs w:val="16"/>
        </w:rPr>
        <w:t xml:space="preserve">                                               </w:t>
      </w:r>
    </w:p>
    <w:p w:rsidR="004A7E14" w:rsidRDefault="004A7E14" w:rsidP="004A7E14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0761A1">
        <w:rPr>
          <w:sz w:val="16"/>
          <w:szCs w:val="16"/>
        </w:rPr>
        <w:t>(</w:t>
      </w:r>
      <w:r>
        <w:rPr>
          <w:sz w:val="16"/>
          <w:szCs w:val="16"/>
        </w:rPr>
        <w:t>всего поступило документов</w:t>
      </w:r>
      <w:r w:rsidR="002411F6">
        <w:rPr>
          <w:sz w:val="16"/>
          <w:szCs w:val="16"/>
        </w:rPr>
        <w:t xml:space="preserve"> – 897</w:t>
      </w:r>
      <w:r>
        <w:rPr>
          <w:sz w:val="16"/>
          <w:szCs w:val="16"/>
        </w:rPr>
        <w:t>, подготовлено и отправлено документов</w:t>
      </w:r>
      <w:r w:rsidR="002411F6">
        <w:rPr>
          <w:sz w:val="16"/>
          <w:szCs w:val="16"/>
        </w:rPr>
        <w:t xml:space="preserve"> – 526</w:t>
      </w:r>
      <w:r w:rsidRPr="000761A1">
        <w:rPr>
          <w:sz w:val="16"/>
          <w:szCs w:val="16"/>
        </w:rPr>
        <w:t>)</w:t>
      </w:r>
    </w:p>
    <w:p w:rsidR="004A7E14" w:rsidRDefault="004A7E14" w:rsidP="007E1DF8">
      <w:pPr>
        <w:pStyle w:val="a5"/>
      </w:pPr>
    </w:p>
    <w:p w:rsidR="00AF17C8" w:rsidRPr="00BB5689" w:rsidRDefault="004A7E14" w:rsidP="00BB5689">
      <w:pPr>
        <w:tabs>
          <w:tab w:val="left" w:pos="6435"/>
        </w:tabs>
      </w:pPr>
      <w:r w:rsidRPr="004A7E14">
        <w:rPr>
          <w:noProof/>
          <w:lang w:eastAsia="ru-RU"/>
        </w:rPr>
        <w:drawing>
          <wp:inline distT="0" distB="0" distL="0" distR="0">
            <wp:extent cx="9953625" cy="23907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F17C8" w:rsidRPr="00BB5689" w:rsidSect="00D017D8">
      <w:pgSz w:w="16838" w:h="11906" w:orient="landscape"/>
      <w:pgMar w:top="142" w:right="253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B3B"/>
    <w:rsid w:val="00000445"/>
    <w:rsid w:val="00003D72"/>
    <w:rsid w:val="00025648"/>
    <w:rsid w:val="0004629B"/>
    <w:rsid w:val="000761A1"/>
    <w:rsid w:val="000B3717"/>
    <w:rsid w:val="0015601B"/>
    <w:rsid w:val="0019021A"/>
    <w:rsid w:val="00191B1D"/>
    <w:rsid w:val="001B697C"/>
    <w:rsid w:val="001C63F5"/>
    <w:rsid w:val="001D2032"/>
    <w:rsid w:val="00202735"/>
    <w:rsid w:val="002411F6"/>
    <w:rsid w:val="002A14F9"/>
    <w:rsid w:val="00305471"/>
    <w:rsid w:val="00326B97"/>
    <w:rsid w:val="0038359C"/>
    <w:rsid w:val="003F41E0"/>
    <w:rsid w:val="00421745"/>
    <w:rsid w:val="00477BA0"/>
    <w:rsid w:val="00485470"/>
    <w:rsid w:val="004A7E14"/>
    <w:rsid w:val="004F77C1"/>
    <w:rsid w:val="00527F69"/>
    <w:rsid w:val="00534C54"/>
    <w:rsid w:val="00597B3B"/>
    <w:rsid w:val="005B20D9"/>
    <w:rsid w:val="006304FB"/>
    <w:rsid w:val="006439FA"/>
    <w:rsid w:val="006A2500"/>
    <w:rsid w:val="006B5FE1"/>
    <w:rsid w:val="006D0D70"/>
    <w:rsid w:val="006E2325"/>
    <w:rsid w:val="006F4CA6"/>
    <w:rsid w:val="00775E0D"/>
    <w:rsid w:val="007B1062"/>
    <w:rsid w:val="007B7C5E"/>
    <w:rsid w:val="007C2DEA"/>
    <w:rsid w:val="007E1DF8"/>
    <w:rsid w:val="008865F5"/>
    <w:rsid w:val="008A0E2C"/>
    <w:rsid w:val="008B0379"/>
    <w:rsid w:val="008B45DB"/>
    <w:rsid w:val="00915F02"/>
    <w:rsid w:val="0093663A"/>
    <w:rsid w:val="00966F1E"/>
    <w:rsid w:val="00967394"/>
    <w:rsid w:val="00987F45"/>
    <w:rsid w:val="009F1911"/>
    <w:rsid w:val="00A21F84"/>
    <w:rsid w:val="00A36A20"/>
    <w:rsid w:val="00A71EC1"/>
    <w:rsid w:val="00A725A1"/>
    <w:rsid w:val="00AC4F56"/>
    <w:rsid w:val="00AE016E"/>
    <w:rsid w:val="00AF17C8"/>
    <w:rsid w:val="00B708AC"/>
    <w:rsid w:val="00B971F5"/>
    <w:rsid w:val="00BB5689"/>
    <w:rsid w:val="00BF7481"/>
    <w:rsid w:val="00C24688"/>
    <w:rsid w:val="00C4649A"/>
    <w:rsid w:val="00C61C9D"/>
    <w:rsid w:val="00C84C6C"/>
    <w:rsid w:val="00CC2FF2"/>
    <w:rsid w:val="00D017D8"/>
    <w:rsid w:val="00D96347"/>
    <w:rsid w:val="00DC6264"/>
    <w:rsid w:val="00DE5612"/>
    <w:rsid w:val="00E43BCE"/>
    <w:rsid w:val="00E765A5"/>
    <w:rsid w:val="00EB323E"/>
    <w:rsid w:val="00EB634C"/>
    <w:rsid w:val="00EC3C42"/>
    <w:rsid w:val="00EC5D48"/>
    <w:rsid w:val="00F25521"/>
    <w:rsid w:val="00F31A77"/>
    <w:rsid w:val="00F659F3"/>
    <w:rsid w:val="00FD17AB"/>
    <w:rsid w:val="00FD452F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B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otY val="30"/>
      <c:rAngAx val="1"/>
    </c:view3D>
    <c:plotArea>
      <c:layout>
        <c:manualLayout>
          <c:layoutTarget val="inner"/>
          <c:xMode val="edge"/>
          <c:yMode val="edge"/>
          <c:x val="7.525925068190005E-2"/>
          <c:y val="5.6670766052823521E-2"/>
          <c:w val="0.86228810966974467"/>
          <c:h val="0.866732595925509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заявления</c:v>
                </c:pt>
              </c:strCache>
            </c:strRef>
          </c:tx>
          <c:dLbls>
            <c:dLbl>
              <c:idx val="1"/>
              <c:layout>
                <c:manualLayout>
                  <c:x val="-1.8347084604855045E-3"/>
                  <c:y val="-2.9651472848763447E-3"/>
                </c:manualLayout>
              </c:layout>
              <c:showVal val="1"/>
            </c:dLbl>
            <c:dLbl>
              <c:idx val="2"/>
              <c:layout>
                <c:manualLayout>
                  <c:x val="4.9168016677341266E-4"/>
                  <c:y val="4.0028860934215925E-4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май</c:v>
                </c:pt>
                <c:pt idx="1">
                  <c:v>июнь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  <c:pt idx="8">
                  <c:v>январь</c:v>
                </c:pt>
                <c:pt idx="9">
                  <c:v>февраль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31</c:v>
                </c:pt>
                <c:pt idx="1">
                  <c:v>34</c:v>
                </c:pt>
                <c:pt idx="2">
                  <c:v>65</c:v>
                </c:pt>
                <c:pt idx="3">
                  <c:v>80</c:v>
                </c:pt>
                <c:pt idx="4">
                  <c:v>64</c:v>
                </c:pt>
                <c:pt idx="5">
                  <c:v>60</c:v>
                </c:pt>
                <c:pt idx="6">
                  <c:v>45</c:v>
                </c:pt>
                <c:pt idx="7">
                  <c:v>48</c:v>
                </c:pt>
                <c:pt idx="8">
                  <c:v>22</c:v>
                </c:pt>
                <c:pt idx="9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заявки</c:v>
                </c:pt>
              </c:strCache>
            </c:strRef>
          </c:tx>
          <c:dLbls>
            <c:dLbl>
              <c:idx val="0"/>
              <c:layout>
                <c:manualLayout>
                  <c:x val="5.1608333647289303E-3"/>
                  <c:y val="-1.7182712718679105E-3"/>
                </c:manualLayout>
              </c:layout>
              <c:showVal val="1"/>
            </c:dLbl>
            <c:dLbl>
              <c:idx val="1"/>
              <c:layout>
                <c:manualLayout>
                  <c:x val="9.094884722143550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689886850268118E-3"/>
                  <c:y val="-3.5649527872760986E-3"/>
                </c:manualLayout>
              </c:layout>
              <c:showVal val="1"/>
            </c:dLbl>
            <c:dLbl>
              <c:idx val="3"/>
              <c:layout>
                <c:manualLayout>
                  <c:x val="3.087116502781703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489265280688837E-3"/>
                  <c:y val="-3.5365101274691282E-3"/>
                </c:manualLayout>
              </c:layout>
              <c:showVal val="1"/>
            </c:dLbl>
            <c:dLbl>
              <c:idx val="5"/>
              <c:layout>
                <c:manualLayout>
                  <c:x val="5.7553906240188938E-3"/>
                  <c:y val="-3.9296880718595406E-3"/>
                </c:manualLayout>
              </c:layout>
              <c:showVal val="1"/>
            </c:dLbl>
            <c:dLbl>
              <c:idx val="6"/>
              <c:layout>
                <c:manualLayout>
                  <c:x val="7.3572191035929189E-3"/>
                  <c:y val="-4.127531867281524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52</a:t>
                    </a:r>
                    <a:r>
                      <a:rPr lang="ru-RU" b="1"/>
                      <a:t>3</a:t>
                    </a:r>
                    <a:endParaRPr lang="en-US" b="1"/>
                  </a:p>
                </c:rich>
              </c:tx>
              <c:showVal val="1"/>
            </c:dLbl>
            <c:dLbl>
              <c:idx val="7"/>
              <c:layout>
                <c:manualLayout>
                  <c:x val="5.7553956834532584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7.6555023923445039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5.103668261563001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май</c:v>
                </c:pt>
                <c:pt idx="1">
                  <c:v>июнь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  <c:pt idx="8">
                  <c:v>январь</c:v>
                </c:pt>
                <c:pt idx="9">
                  <c:v>февраль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184</c:v>
                </c:pt>
                <c:pt idx="1">
                  <c:v>234</c:v>
                </c:pt>
                <c:pt idx="2">
                  <c:v>354</c:v>
                </c:pt>
                <c:pt idx="3">
                  <c:v>364</c:v>
                </c:pt>
                <c:pt idx="4">
                  <c:v>411</c:v>
                </c:pt>
                <c:pt idx="5">
                  <c:v>564</c:v>
                </c:pt>
                <c:pt idx="6">
                  <c:v>523</c:v>
                </c:pt>
                <c:pt idx="7">
                  <c:v>455</c:v>
                </c:pt>
                <c:pt idx="8">
                  <c:v>339</c:v>
                </c:pt>
                <c:pt idx="9">
                  <c:v>383</c:v>
                </c:pt>
              </c:numCache>
            </c:numRef>
          </c:val>
        </c:ser>
        <c:shape val="box"/>
        <c:axId val="60577280"/>
        <c:axId val="60578816"/>
        <c:axId val="0"/>
      </c:bar3DChart>
      <c:catAx>
        <c:axId val="6057728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578816"/>
        <c:crosses val="autoZero"/>
        <c:auto val="1"/>
        <c:lblAlgn val="ctr"/>
        <c:lblOffset val="100"/>
      </c:catAx>
      <c:valAx>
        <c:axId val="60578816"/>
        <c:scaling>
          <c:orientation val="minMax"/>
        </c:scaling>
        <c:axPos val="l"/>
        <c:majorGridlines/>
        <c:numFmt formatCode="General" sourceLinked="1"/>
        <c:tickLblPos val="nextTo"/>
        <c:crossAx val="6057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317374323424882"/>
          <c:y val="0.15158766508768076"/>
          <c:w val="7.8870562232352559E-2"/>
          <c:h val="0.14961926571927525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view3D>
      <c:rotY val="30"/>
      <c:rAngAx val="1"/>
    </c:view3D>
    <c:plotArea>
      <c:layout>
        <c:manualLayout>
          <c:layoutTarget val="inner"/>
          <c:xMode val="edge"/>
          <c:yMode val="edge"/>
          <c:x val="7.525925068190005E-2"/>
          <c:y val="5.6670766052823521E-2"/>
          <c:w val="0.86228810966974467"/>
          <c:h val="0.866732595925509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</c:v>
                </c:pt>
              </c:strCache>
            </c:strRef>
          </c:tx>
          <c:dLbls>
            <c:dLbl>
              <c:idx val="1"/>
              <c:layout>
                <c:manualLayout>
                  <c:x val="9.6485451280312468E-3"/>
                  <c:y val="-2.9651472848762459E-3"/>
                </c:manualLayout>
              </c:layout>
              <c:showVal val="1"/>
            </c:dLbl>
            <c:dLbl>
              <c:idx val="2"/>
              <c:layout>
                <c:manualLayout>
                  <c:x val="4.9168016677341266E-4"/>
                  <c:y val="4.0028860934215914E-4"/>
                </c:manualLayout>
              </c:layout>
              <c:showVal val="1"/>
            </c:dLbl>
            <c:dLbl>
              <c:idx val="3"/>
              <c:layout>
                <c:manualLayout>
                  <c:x val="8.9314194577352051E-3"/>
                  <c:y val="1.0624169986719792E-2"/>
                </c:manualLayout>
              </c:layout>
              <c:showVal val="1"/>
            </c:dLbl>
            <c:dLbl>
              <c:idx val="4"/>
              <c:layout>
                <c:manualLayout>
                  <c:x val="2.5518341307814991E-3"/>
                  <c:y val="1.0624169986719792E-2"/>
                </c:manualLayout>
              </c:layout>
              <c:showVal val="1"/>
            </c:dLbl>
            <c:dLbl>
              <c:idx val="5"/>
              <c:layout>
                <c:manualLayout>
                  <c:x val="3.8277511961722502E-3"/>
                  <c:y val="-4.1827440892597637E-7"/>
                </c:manualLayout>
              </c:layout>
              <c:showVal val="1"/>
            </c:dLbl>
            <c:dLbl>
              <c:idx val="7"/>
              <c:layout>
                <c:manualLayout>
                  <c:x val="3.8277511961722502E-3"/>
                  <c:y val="-5.3120849933598925E-3"/>
                </c:manualLayout>
              </c:layout>
              <c:showVal val="1"/>
            </c:dLbl>
            <c:dLbl>
              <c:idx val="8"/>
              <c:layout>
                <c:manualLayout>
                  <c:x val="8.9314194577352589E-3"/>
                  <c:y val="4.8693549927088647E-17"/>
                </c:manualLayout>
              </c:layout>
              <c:showVal val="1"/>
            </c:dLbl>
            <c:dLbl>
              <c:idx val="9"/>
              <c:layout>
                <c:manualLayout>
                  <c:x val="6.37948486104308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май</c:v>
                </c:pt>
                <c:pt idx="1">
                  <c:v>июнь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  <c:pt idx="8">
                  <c:v>январь</c:v>
                </c:pt>
                <c:pt idx="9">
                  <c:v>февраль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31</c:v>
                </c:pt>
                <c:pt idx="1">
                  <c:v>60</c:v>
                </c:pt>
                <c:pt idx="2">
                  <c:v>140</c:v>
                </c:pt>
                <c:pt idx="3">
                  <c:v>93</c:v>
                </c:pt>
                <c:pt idx="4">
                  <c:v>94</c:v>
                </c:pt>
                <c:pt idx="5">
                  <c:v>95</c:v>
                </c:pt>
                <c:pt idx="6">
                  <c:v>87</c:v>
                </c:pt>
                <c:pt idx="7">
                  <c:v>124</c:v>
                </c:pt>
                <c:pt idx="8">
                  <c:v>65</c:v>
                </c:pt>
                <c:pt idx="9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исходящие</c:v>
                </c:pt>
              </c:strCache>
            </c:strRef>
          </c:tx>
          <c:dLbls>
            <c:dLbl>
              <c:idx val="0"/>
              <c:layout>
                <c:manualLayout>
                  <c:x val="1.0264501626291939E-2"/>
                  <c:y val="8.9058987148518797E-3"/>
                </c:manualLayout>
              </c:layout>
              <c:showVal val="1"/>
            </c:dLbl>
            <c:dLbl>
              <c:idx val="1"/>
              <c:layout>
                <c:manualLayout>
                  <c:x val="9.094884722143550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345389242612648E-2"/>
                  <c:y val="7.0592171994437077E-3"/>
                </c:manualLayout>
              </c:layout>
              <c:showVal val="1"/>
            </c:dLbl>
            <c:dLbl>
              <c:idx val="3"/>
              <c:layout>
                <c:manualLayout>
                  <c:x val="1.0742618895126147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489265280688837E-3"/>
                  <c:y val="-3.5365101274691282E-3"/>
                </c:manualLayout>
              </c:layout>
              <c:showVal val="1"/>
            </c:dLbl>
            <c:dLbl>
              <c:idx val="5"/>
              <c:layout>
                <c:manualLayout>
                  <c:x val="9.5831418201911371E-3"/>
                  <c:y val="-3.9296880718595432E-3"/>
                </c:manualLayout>
              </c:layout>
              <c:showVal val="1"/>
            </c:dLbl>
            <c:dLbl>
              <c:idx val="6"/>
              <c:layout>
                <c:manualLayout>
                  <c:x val="8.6331361689836773E-3"/>
                  <c:y val="1.1845531260784149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73</a:t>
                    </a:r>
                    <a:endParaRPr lang="en-US" b="1"/>
                  </a:p>
                </c:rich>
              </c:tx>
              <c:showVal val="1"/>
            </c:dLbl>
            <c:dLbl>
              <c:idx val="7"/>
              <c:layout>
                <c:manualLayout>
                  <c:x val="1.0859058885581882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7.6555023923445039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6.379585326953748E-3"/>
                  <c:y val="1.062416998671979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май</c:v>
                </c:pt>
                <c:pt idx="1">
                  <c:v>июнь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  <c:pt idx="8">
                  <c:v>январь</c:v>
                </c:pt>
                <c:pt idx="9">
                  <c:v>февраль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</c:v>
                </c:pt>
                <c:pt idx="1">
                  <c:v>10</c:v>
                </c:pt>
                <c:pt idx="2">
                  <c:v>73</c:v>
                </c:pt>
                <c:pt idx="3">
                  <c:v>38</c:v>
                </c:pt>
                <c:pt idx="4">
                  <c:v>51</c:v>
                </c:pt>
                <c:pt idx="5">
                  <c:v>28</c:v>
                </c:pt>
                <c:pt idx="6">
                  <c:v>73</c:v>
                </c:pt>
                <c:pt idx="7">
                  <c:v>103</c:v>
                </c:pt>
                <c:pt idx="8">
                  <c:v>47</c:v>
                </c:pt>
                <c:pt idx="9">
                  <c:v>78</c:v>
                </c:pt>
              </c:numCache>
            </c:numRef>
          </c:val>
        </c:ser>
        <c:shape val="box"/>
        <c:axId val="63513344"/>
        <c:axId val="63514880"/>
        <c:axId val="0"/>
      </c:bar3DChart>
      <c:catAx>
        <c:axId val="635133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3514880"/>
        <c:crosses val="autoZero"/>
        <c:auto val="1"/>
        <c:lblAlgn val="ctr"/>
        <c:lblOffset val="100"/>
      </c:catAx>
      <c:valAx>
        <c:axId val="63514880"/>
        <c:scaling>
          <c:orientation val="minMax"/>
        </c:scaling>
        <c:axPos val="l"/>
        <c:majorGridlines/>
        <c:numFmt formatCode="General" sourceLinked="1"/>
        <c:tickLblPos val="nextTo"/>
        <c:crossAx val="6351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700149443042133"/>
          <c:y val="0.11971515512752146"/>
          <c:w val="7.8870562232352545E-2"/>
          <c:h val="0.154931350712635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4C73-35B0-4714-A251-473D9F6C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2015-03-03T06:29:00Z</dcterms:created>
  <dcterms:modified xsi:type="dcterms:W3CDTF">2015-03-05T10:42:00Z</dcterms:modified>
</cp:coreProperties>
</file>