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83" w:rsidRDefault="00764683" w:rsidP="00764683">
      <w:pPr>
        <w:pStyle w:val="ConsPlusNormal"/>
        <w:ind w:firstLine="540"/>
        <w:jc w:val="center"/>
        <w:rPr>
          <w:rFonts w:ascii="PF Din Text Cond Pro Light" w:hAnsi="PF Din Text Cond Pro Light"/>
          <w:sz w:val="40"/>
          <w:szCs w:val="40"/>
        </w:rPr>
      </w:pPr>
    </w:p>
    <w:p w:rsidR="00555E21" w:rsidRPr="0094065D" w:rsidRDefault="00555E21" w:rsidP="00555E21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 w:cs="PF Din Text Cond Pro Light"/>
          <w:bCs/>
          <w:color w:val="000000" w:themeColor="text1"/>
          <w:sz w:val="40"/>
          <w:szCs w:val="40"/>
        </w:rPr>
      </w:pPr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40"/>
          <w:szCs w:val="40"/>
        </w:rPr>
        <w:t>О НАЛОГОВОЙ ДЕКЛАРАЦИИ ПО НАЛОГУ НА ПРИБЫЛЬ ОРГАНИЗАЦИЙ</w:t>
      </w:r>
    </w:p>
    <w:p w:rsidR="00555E21" w:rsidRPr="0094065D" w:rsidRDefault="00555E21" w:rsidP="00555E21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 Light"/>
          <w:bCs/>
          <w:color w:val="000000" w:themeColor="text1"/>
          <w:sz w:val="40"/>
          <w:szCs w:val="40"/>
        </w:rPr>
      </w:pPr>
    </w:p>
    <w:p w:rsidR="00555E21" w:rsidRPr="0094065D" w:rsidRDefault="00555E21" w:rsidP="00555E21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</w:pPr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 xml:space="preserve">Приказом ФНС России от 26 ноября 2014 года N ММВ-7-3/600@ (далее - Приказ N ММВ-7-3/600@) утверждены </w:t>
      </w:r>
      <w:hyperlink r:id="rId8" w:history="1">
        <w:r w:rsidRPr="0094065D">
          <w:rPr>
            <w:rFonts w:ascii="PF Din Text Cond Pro Light" w:eastAsia="Calibri" w:hAnsi="PF Din Text Cond Pro Light" w:cs="PF Din Text Cond Pro Light"/>
            <w:bCs/>
            <w:color w:val="000000" w:themeColor="text1"/>
            <w:sz w:val="36"/>
            <w:szCs w:val="36"/>
          </w:rPr>
          <w:t>форма</w:t>
        </w:r>
      </w:hyperlink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 xml:space="preserve"> налоговой декларации по налогу на прибыль организаций, </w:t>
      </w:r>
      <w:hyperlink r:id="rId9" w:history="1">
        <w:r w:rsidRPr="0094065D">
          <w:rPr>
            <w:rFonts w:ascii="PF Din Text Cond Pro Light" w:eastAsia="Calibri" w:hAnsi="PF Din Text Cond Pro Light" w:cs="PF Din Text Cond Pro Light"/>
            <w:bCs/>
            <w:color w:val="000000" w:themeColor="text1"/>
            <w:sz w:val="36"/>
            <w:szCs w:val="36"/>
          </w:rPr>
          <w:t>порядок</w:t>
        </w:r>
      </w:hyperlink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 xml:space="preserve"> ее заполнения, а также </w:t>
      </w:r>
      <w:hyperlink r:id="rId10" w:history="1">
        <w:r w:rsidRPr="0094065D">
          <w:rPr>
            <w:rFonts w:ascii="PF Din Text Cond Pro Light" w:eastAsia="Calibri" w:hAnsi="PF Din Text Cond Pro Light" w:cs="PF Din Text Cond Pro Light"/>
            <w:bCs/>
            <w:color w:val="000000" w:themeColor="text1"/>
            <w:sz w:val="36"/>
            <w:szCs w:val="36"/>
          </w:rPr>
          <w:t>формат</w:t>
        </w:r>
      </w:hyperlink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 xml:space="preserve"> представления налоговой декларации по налогу на прибыль организаций в электронной форме.</w:t>
      </w:r>
    </w:p>
    <w:p w:rsidR="00555E21" w:rsidRPr="0094065D" w:rsidRDefault="00555E21" w:rsidP="00555E21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</w:pPr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 xml:space="preserve">Высший Арбитражный Суд Российской Федерации в </w:t>
      </w:r>
      <w:hyperlink r:id="rId11" w:history="1">
        <w:r w:rsidRPr="0094065D">
          <w:rPr>
            <w:rFonts w:ascii="PF Din Text Cond Pro Light" w:eastAsia="Calibri" w:hAnsi="PF Din Text Cond Pro Light" w:cs="PF Din Text Cond Pro Light"/>
            <w:bCs/>
            <w:color w:val="000000" w:themeColor="text1"/>
            <w:sz w:val="36"/>
            <w:szCs w:val="36"/>
          </w:rPr>
          <w:t>Решении</w:t>
        </w:r>
      </w:hyperlink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 xml:space="preserve"> от 28.07.2011 N ВАС-8096/11 указал, что действие нормативного правового акта, которым утверждается новая </w:t>
      </w:r>
      <w:hyperlink r:id="rId12" w:history="1">
        <w:r w:rsidRPr="0094065D">
          <w:rPr>
            <w:rFonts w:ascii="PF Din Text Cond Pro Light" w:eastAsia="Calibri" w:hAnsi="PF Din Text Cond Pro Light" w:cs="PF Din Text Cond Pro Light"/>
            <w:bCs/>
            <w:color w:val="000000" w:themeColor="text1"/>
            <w:sz w:val="36"/>
            <w:szCs w:val="36"/>
          </w:rPr>
          <w:t>форма</w:t>
        </w:r>
      </w:hyperlink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 xml:space="preserve"> налоговой декларации, распространяется на декларирование, представляемое за отчетные (налоговый) периоды, окончившиеся после вступления данного нормативного </w:t>
      </w:r>
      <w:hyperlink r:id="rId13" w:history="1">
        <w:r w:rsidRPr="0094065D">
          <w:rPr>
            <w:rFonts w:ascii="PF Din Text Cond Pro Light" w:eastAsia="Calibri" w:hAnsi="PF Din Text Cond Pro Light" w:cs="PF Din Text Cond Pro Light"/>
            <w:bCs/>
            <w:color w:val="000000" w:themeColor="text1"/>
            <w:sz w:val="36"/>
            <w:szCs w:val="36"/>
          </w:rPr>
          <w:t>правового акта</w:t>
        </w:r>
      </w:hyperlink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 xml:space="preserve"> в силу.</w:t>
      </w:r>
    </w:p>
    <w:p w:rsidR="00555E21" w:rsidRPr="0094065D" w:rsidRDefault="00555E21" w:rsidP="00555E21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</w:pPr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 xml:space="preserve">Следовательно, действие положений </w:t>
      </w:r>
      <w:hyperlink r:id="rId14" w:history="1">
        <w:r w:rsidRPr="0094065D">
          <w:rPr>
            <w:rFonts w:ascii="PF Din Text Cond Pro Light" w:eastAsia="Calibri" w:hAnsi="PF Din Text Cond Pro Light" w:cs="PF Din Text Cond Pro Light"/>
            <w:bCs/>
            <w:color w:val="000000" w:themeColor="text1"/>
            <w:sz w:val="36"/>
            <w:szCs w:val="36"/>
          </w:rPr>
          <w:t>Приказа</w:t>
        </w:r>
      </w:hyperlink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 xml:space="preserve"> N ММВ-7-3/600@ распространяется на декларации, представляемые за отчетные (налоговый) периоды, окончившиеся после 10.01.2015.</w:t>
      </w:r>
    </w:p>
    <w:p w:rsidR="00555E21" w:rsidRPr="0094065D" w:rsidRDefault="00555E21" w:rsidP="00555E21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</w:pPr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 xml:space="preserve">Таким образом, налоговые декларации по налогу на прибыль организаций за отчетные и налоговый периоды 2015 года представляются в налоговые органы по </w:t>
      </w:r>
      <w:hyperlink r:id="rId15" w:history="1">
        <w:r w:rsidRPr="0094065D">
          <w:rPr>
            <w:rFonts w:ascii="PF Din Text Cond Pro Light" w:eastAsia="Calibri" w:hAnsi="PF Din Text Cond Pro Light" w:cs="PF Din Text Cond Pro Light"/>
            <w:bCs/>
            <w:color w:val="000000" w:themeColor="text1"/>
            <w:sz w:val="36"/>
            <w:szCs w:val="36"/>
          </w:rPr>
          <w:t>форме</w:t>
        </w:r>
      </w:hyperlink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 xml:space="preserve"> и </w:t>
      </w:r>
      <w:hyperlink r:id="rId16" w:history="1">
        <w:r w:rsidRPr="0094065D">
          <w:rPr>
            <w:rFonts w:ascii="PF Din Text Cond Pro Light" w:eastAsia="Calibri" w:hAnsi="PF Din Text Cond Pro Light" w:cs="PF Din Text Cond Pro Light"/>
            <w:bCs/>
            <w:color w:val="000000" w:themeColor="text1"/>
            <w:sz w:val="36"/>
            <w:szCs w:val="36"/>
          </w:rPr>
          <w:t>формату</w:t>
        </w:r>
      </w:hyperlink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>, утвержденным Приказом N ММВ-7-3/600@.</w:t>
      </w:r>
    </w:p>
    <w:p w:rsidR="00555E21" w:rsidRPr="0094065D" w:rsidRDefault="00555E21" w:rsidP="00555E21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</w:pPr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 xml:space="preserve">Федеральная налоговая служба рекомендует налогоплательщикам представлять в налоговые органы налоговые декларации по налогу на прибыль организаций за налоговый период 2014 года по </w:t>
      </w:r>
      <w:hyperlink r:id="rId17" w:history="1">
        <w:r w:rsidRPr="0094065D">
          <w:rPr>
            <w:rFonts w:ascii="PF Din Text Cond Pro Light" w:eastAsia="Calibri" w:hAnsi="PF Din Text Cond Pro Light" w:cs="PF Din Text Cond Pro Light"/>
            <w:bCs/>
            <w:color w:val="000000" w:themeColor="text1"/>
            <w:sz w:val="36"/>
            <w:szCs w:val="36"/>
          </w:rPr>
          <w:t>форме</w:t>
        </w:r>
      </w:hyperlink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 xml:space="preserve"> и </w:t>
      </w:r>
      <w:hyperlink r:id="rId18" w:history="1">
        <w:r w:rsidRPr="0094065D">
          <w:rPr>
            <w:rFonts w:ascii="PF Din Text Cond Pro Light" w:eastAsia="Calibri" w:hAnsi="PF Din Text Cond Pro Light" w:cs="PF Din Text Cond Pro Light"/>
            <w:bCs/>
            <w:color w:val="000000" w:themeColor="text1"/>
            <w:sz w:val="36"/>
            <w:szCs w:val="36"/>
          </w:rPr>
          <w:t>формату</w:t>
        </w:r>
      </w:hyperlink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>, утвержденным Приказом N ММВ-7-3/600@.</w:t>
      </w:r>
    </w:p>
    <w:p w:rsidR="00555E21" w:rsidRPr="0094065D" w:rsidRDefault="00555E21" w:rsidP="00555E2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</w:pPr>
    </w:p>
    <w:p w:rsidR="00764683" w:rsidRPr="0094065D" w:rsidRDefault="00764683" w:rsidP="00555E21">
      <w:pPr>
        <w:pStyle w:val="ConsPlusNormal"/>
        <w:ind w:firstLine="540"/>
        <w:jc w:val="center"/>
        <w:rPr>
          <w:rFonts w:ascii="PF Din Text Cond Pro Light" w:hAnsi="PF Din Text Cond Pro Light"/>
          <w:color w:val="000000" w:themeColor="text1"/>
          <w:sz w:val="36"/>
          <w:szCs w:val="36"/>
        </w:rPr>
      </w:pPr>
    </w:p>
    <w:p w:rsidR="00555E21" w:rsidRPr="0094065D" w:rsidRDefault="00555E21" w:rsidP="00555E21">
      <w:pPr>
        <w:autoSpaceDE w:val="0"/>
        <w:autoSpaceDN w:val="0"/>
        <w:adjustRightInd w:val="0"/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</w:pPr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lastRenderedPageBreak/>
        <w:t xml:space="preserve">ПИСЬМО  Минфина России и ФНС России от 5 февраля 2015 г. </w:t>
      </w:r>
    </w:p>
    <w:p w:rsidR="00555E21" w:rsidRPr="0094065D" w:rsidRDefault="00555E21" w:rsidP="00555E21">
      <w:pPr>
        <w:autoSpaceDE w:val="0"/>
        <w:autoSpaceDN w:val="0"/>
        <w:adjustRightInd w:val="0"/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</w:pPr>
      <w:r w:rsidRPr="0094065D">
        <w:rPr>
          <w:rFonts w:ascii="PF Din Text Cond Pro Light" w:eastAsia="Calibri" w:hAnsi="PF Din Text Cond Pro Light" w:cs="PF Din Text Cond Pro Light"/>
          <w:bCs/>
          <w:color w:val="000000" w:themeColor="text1"/>
          <w:sz w:val="36"/>
          <w:szCs w:val="36"/>
        </w:rPr>
        <w:t>N ГД-4-3/1696@.</w:t>
      </w:r>
    </w:p>
    <w:sectPr w:rsidR="00555E21" w:rsidRPr="0094065D" w:rsidSect="007766C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A4E" w:rsidRDefault="003F6A4E">
      <w:r>
        <w:separator/>
      </w:r>
    </w:p>
  </w:endnote>
  <w:endnote w:type="continuationSeparator" w:id="0">
    <w:p w:rsidR="003F6A4E" w:rsidRDefault="003F6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F0" w:rsidRDefault="005934F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5934F0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5934F0" w:rsidRPr="000C087A" w:rsidRDefault="005934F0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5934F0" w:rsidRDefault="005934F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F0" w:rsidRDefault="005934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A4E" w:rsidRDefault="003F6A4E">
      <w:r>
        <w:separator/>
      </w:r>
    </w:p>
  </w:footnote>
  <w:footnote w:type="continuationSeparator" w:id="0">
    <w:p w:rsidR="003F6A4E" w:rsidRDefault="003F6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F0" w:rsidRDefault="005934F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F0" w:rsidRDefault="005934F0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5934F0" w:rsidRDefault="005934F0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5934F0" w:rsidRPr="007A28BB" w:rsidRDefault="005934F0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5934F0" w:rsidRDefault="005934F0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F0" w:rsidRDefault="005934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14AA1"/>
    <w:multiLevelType w:val="hybridMultilevel"/>
    <w:tmpl w:val="A67C63DC"/>
    <w:lvl w:ilvl="0" w:tplc="5A9C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CB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87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85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6B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B62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03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23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F25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C02DF"/>
    <w:multiLevelType w:val="hybridMultilevel"/>
    <w:tmpl w:val="C0EE1280"/>
    <w:lvl w:ilvl="0" w:tplc="184EC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C3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BAC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ED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A5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29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9C8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E8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0C1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44F60"/>
    <w:multiLevelType w:val="hybridMultilevel"/>
    <w:tmpl w:val="98161322"/>
    <w:lvl w:ilvl="0" w:tplc="5BD6A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A1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67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02A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EC9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586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0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E3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58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431F2"/>
    <w:multiLevelType w:val="hybridMultilevel"/>
    <w:tmpl w:val="B4B2819A"/>
    <w:lvl w:ilvl="0" w:tplc="52D88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077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E50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A75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5E2F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CA3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2F4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814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4E0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778A47F8"/>
    <w:multiLevelType w:val="hybridMultilevel"/>
    <w:tmpl w:val="973C47B8"/>
    <w:lvl w:ilvl="0" w:tplc="BE9632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88A1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922A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24839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70BB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82A89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B816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BE4032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2FC83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9"/>
  </w:num>
  <w:num w:numId="5">
    <w:abstractNumId w:val="20"/>
  </w:num>
  <w:num w:numId="6">
    <w:abstractNumId w:val="12"/>
  </w:num>
  <w:num w:numId="7">
    <w:abstractNumId w:val="0"/>
  </w:num>
  <w:num w:numId="8">
    <w:abstractNumId w:val="9"/>
  </w:num>
  <w:num w:numId="9">
    <w:abstractNumId w:val="22"/>
  </w:num>
  <w:num w:numId="10">
    <w:abstractNumId w:val="26"/>
  </w:num>
  <w:num w:numId="11">
    <w:abstractNumId w:val="25"/>
  </w:num>
  <w:num w:numId="12">
    <w:abstractNumId w:val="16"/>
  </w:num>
  <w:num w:numId="13">
    <w:abstractNumId w:val="11"/>
  </w:num>
  <w:num w:numId="14">
    <w:abstractNumId w:val="10"/>
  </w:num>
  <w:num w:numId="15">
    <w:abstractNumId w:val="1"/>
  </w:num>
  <w:num w:numId="16">
    <w:abstractNumId w:val="23"/>
  </w:num>
  <w:num w:numId="17">
    <w:abstractNumId w:val="7"/>
  </w:num>
  <w:num w:numId="18">
    <w:abstractNumId w:val="24"/>
  </w:num>
  <w:num w:numId="19">
    <w:abstractNumId w:val="17"/>
  </w:num>
  <w:num w:numId="20">
    <w:abstractNumId w:val="14"/>
  </w:num>
  <w:num w:numId="21">
    <w:abstractNumId w:val="4"/>
  </w:num>
  <w:num w:numId="22">
    <w:abstractNumId w:val="13"/>
  </w:num>
  <w:num w:numId="23">
    <w:abstractNumId w:val="2"/>
  </w:num>
  <w:num w:numId="24">
    <w:abstractNumId w:val="5"/>
  </w:num>
  <w:num w:numId="25">
    <w:abstractNumId w:val="15"/>
  </w:num>
  <w:num w:numId="26">
    <w:abstractNumId w:val="18"/>
  </w:num>
  <w:num w:numId="27">
    <w:abstractNumId w:val="21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5058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2ECA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104086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B0566"/>
    <w:rsid w:val="002F13D8"/>
    <w:rsid w:val="00302E73"/>
    <w:rsid w:val="00314FF4"/>
    <w:rsid w:val="0033320B"/>
    <w:rsid w:val="00336279"/>
    <w:rsid w:val="003370EF"/>
    <w:rsid w:val="0035083B"/>
    <w:rsid w:val="0035366F"/>
    <w:rsid w:val="003642A3"/>
    <w:rsid w:val="00371906"/>
    <w:rsid w:val="00390C75"/>
    <w:rsid w:val="003B1038"/>
    <w:rsid w:val="003D17D5"/>
    <w:rsid w:val="003D30EA"/>
    <w:rsid w:val="003F6A4E"/>
    <w:rsid w:val="004002A7"/>
    <w:rsid w:val="004140B8"/>
    <w:rsid w:val="00427E7A"/>
    <w:rsid w:val="00430298"/>
    <w:rsid w:val="00443AD2"/>
    <w:rsid w:val="004B5781"/>
    <w:rsid w:val="004C5F54"/>
    <w:rsid w:val="004D33E0"/>
    <w:rsid w:val="004F4378"/>
    <w:rsid w:val="004F4D2D"/>
    <w:rsid w:val="004F7095"/>
    <w:rsid w:val="00552CC2"/>
    <w:rsid w:val="00555E21"/>
    <w:rsid w:val="005638EA"/>
    <w:rsid w:val="00576F46"/>
    <w:rsid w:val="005934F0"/>
    <w:rsid w:val="005A4A5A"/>
    <w:rsid w:val="005C7B2D"/>
    <w:rsid w:val="006005DC"/>
    <w:rsid w:val="00604ACC"/>
    <w:rsid w:val="00624377"/>
    <w:rsid w:val="00626431"/>
    <w:rsid w:val="006449BC"/>
    <w:rsid w:val="006911D9"/>
    <w:rsid w:val="00695063"/>
    <w:rsid w:val="00695BC3"/>
    <w:rsid w:val="006A7EB9"/>
    <w:rsid w:val="006C06C4"/>
    <w:rsid w:val="006D4A40"/>
    <w:rsid w:val="00702F2B"/>
    <w:rsid w:val="00712734"/>
    <w:rsid w:val="00720F45"/>
    <w:rsid w:val="00764683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37243"/>
    <w:rsid w:val="008626B7"/>
    <w:rsid w:val="00873CD1"/>
    <w:rsid w:val="008D6EF2"/>
    <w:rsid w:val="008E0DC5"/>
    <w:rsid w:val="009042FA"/>
    <w:rsid w:val="0092651B"/>
    <w:rsid w:val="0094065D"/>
    <w:rsid w:val="00940D40"/>
    <w:rsid w:val="00950BBD"/>
    <w:rsid w:val="00955630"/>
    <w:rsid w:val="00966AC1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24795"/>
    <w:rsid w:val="00B37F29"/>
    <w:rsid w:val="00B41266"/>
    <w:rsid w:val="00B42546"/>
    <w:rsid w:val="00B70B43"/>
    <w:rsid w:val="00B734DF"/>
    <w:rsid w:val="00B84C71"/>
    <w:rsid w:val="00C223D1"/>
    <w:rsid w:val="00C4123A"/>
    <w:rsid w:val="00C41BBF"/>
    <w:rsid w:val="00C74AB2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43D5E"/>
    <w:rsid w:val="00D8470F"/>
    <w:rsid w:val="00D84976"/>
    <w:rsid w:val="00DC19C6"/>
    <w:rsid w:val="00DF3885"/>
    <w:rsid w:val="00E117C4"/>
    <w:rsid w:val="00E21CB9"/>
    <w:rsid w:val="00E44F39"/>
    <w:rsid w:val="00E66003"/>
    <w:rsid w:val="00EB51F4"/>
    <w:rsid w:val="00EF1CF0"/>
    <w:rsid w:val="00EF7641"/>
    <w:rsid w:val="00F36FD5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985">
          <w:marLeft w:val="110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081">
          <w:marLeft w:val="13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232">
          <w:marLeft w:val="129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561">
          <w:marLeft w:val="129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2E7D10CC1664A4B8B1B1112C148B398A59807EDBDEA970716BFB0F41E9AFEEB14452A625DE6DDc6hCI" TargetMode="External"/><Relationship Id="rId13" Type="http://schemas.openxmlformats.org/officeDocument/2006/relationships/hyperlink" Target="consultantplus://offline/ref=3432E7D10CC1664A4B8B1B1112C148B398A59807EDBDEA970716BFB0F4c1hEI" TargetMode="External"/><Relationship Id="rId18" Type="http://schemas.openxmlformats.org/officeDocument/2006/relationships/hyperlink" Target="consultantplus://offline/ref=3432E7D10CC1664A4B8B1B1112C148B398A59807EDBDEA970716BFB0F41E9AFEEB14452A625FE3DCc6hB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32E7D10CC1664A4B8B1B1112C148B398A59807EDBDEA970716BFB0F41E9AFEEB14452A625DE6DDc6hCI" TargetMode="External"/><Relationship Id="rId17" Type="http://schemas.openxmlformats.org/officeDocument/2006/relationships/hyperlink" Target="consultantplus://offline/ref=3432E7D10CC1664A4B8B1B1112C148B398A59807EDBDEA970716BFB0F41E9AFEEB14452A625DE6DDc6hC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32E7D10CC1664A4B8B1B1112C148B398A59807EDBDEA970716BFB0F41E9AFEEB14452A625FE3DCc6hB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32E7D10CC1664A4B8B1B1112C148B398A39D07EAB8EA970716BFB0F4c1hEI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32E7D10CC1664A4B8B1B1112C148B398A59807EDBDEA970716BFB0F41E9AFEEB14452A625DE6DDc6hCI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3432E7D10CC1664A4B8B1B1112C148B398A59807EDBDEA970716BFB0F41E9AFEEB14452A625FE3DCc6hB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2E7D10CC1664A4B8B1B1112C148B398A59807EDBDEA970716BFB0F41E9AFEEB14452A625DEFDEc6h7I" TargetMode="External"/><Relationship Id="rId14" Type="http://schemas.openxmlformats.org/officeDocument/2006/relationships/hyperlink" Target="consultantplus://offline/ref=3432E7D10CC1664A4B8B1B1112C148B398A59807EDBDEA970716BFB0F4c1hEI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9B41E-C498-4205-8312-DAFEBA05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2015-02-28T07:49:00Z</cp:lastPrinted>
  <dcterms:created xsi:type="dcterms:W3CDTF">2015-03-12T08:47:00Z</dcterms:created>
  <dcterms:modified xsi:type="dcterms:W3CDTF">2015-03-12T08:47:00Z</dcterms:modified>
</cp:coreProperties>
</file>