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D6" w:rsidRPr="004E5ED7" w:rsidRDefault="003F62D6" w:rsidP="003F62D6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50"/>
          <w:szCs w:val="50"/>
        </w:rPr>
      </w:pPr>
      <w:r w:rsidRPr="004E5ED7">
        <w:rPr>
          <w:rFonts w:ascii="PF Din Text Cond Pro Light" w:hAnsi="PF Din Text Cond Pro Light"/>
          <w:b/>
          <w:sz w:val="50"/>
          <w:szCs w:val="50"/>
        </w:rPr>
        <w:t xml:space="preserve">Уважаемые налогоплательщики! </w:t>
      </w:r>
    </w:p>
    <w:p w:rsidR="003F62D6" w:rsidRPr="004E5ED7" w:rsidRDefault="003F62D6" w:rsidP="003F62D6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sz w:val="36"/>
          <w:szCs w:val="36"/>
        </w:rPr>
      </w:pPr>
      <w:r w:rsidRPr="004E5ED7">
        <w:rPr>
          <w:rFonts w:ascii="PF Din Text Cond Pro Light" w:hAnsi="PF Din Text Cond Pro Light"/>
          <w:b/>
          <w:bCs/>
          <w:sz w:val="36"/>
          <w:szCs w:val="36"/>
        </w:rPr>
        <w:t xml:space="preserve">Предлагаем Вам перейти на систему представления налоговой и бухгалтерской отчетности в электронном виде по телекоммуникационным каналам связи. </w:t>
      </w:r>
      <w:r w:rsidRPr="004E5ED7">
        <w:rPr>
          <w:rFonts w:ascii="PF Din Text Cond Pro Light" w:hAnsi="PF Din Text Cond Pro Light"/>
          <w:b/>
          <w:bCs/>
          <w:sz w:val="36"/>
          <w:szCs w:val="36"/>
        </w:rPr>
        <w:br/>
      </w:r>
    </w:p>
    <w:p w:rsidR="003F62D6" w:rsidRPr="004E5ED7" w:rsidRDefault="003F62D6" w:rsidP="004E5ED7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sz w:val="32"/>
          <w:szCs w:val="32"/>
        </w:rPr>
      </w:pPr>
      <w:r w:rsidRPr="004E5ED7">
        <w:rPr>
          <w:rFonts w:ascii="PF Din Text Cond Pro Light" w:hAnsi="PF Din Text Cond Pro Light"/>
          <w:bCs/>
          <w:sz w:val="32"/>
          <w:szCs w:val="32"/>
        </w:rPr>
        <w:t>1.</w:t>
      </w:r>
      <w:r w:rsidRPr="004E5ED7">
        <w:rPr>
          <w:rFonts w:ascii="PF Din Text Cond Pro Light" w:hAnsi="PF Din Text Cond Pro Light"/>
          <w:b/>
          <w:bCs/>
          <w:sz w:val="32"/>
          <w:szCs w:val="32"/>
        </w:rPr>
        <w:t xml:space="preserve"> </w:t>
      </w:r>
      <w:r w:rsidRPr="004E5ED7">
        <w:rPr>
          <w:rFonts w:ascii="PF Din Text Cond Pro Light" w:hAnsi="PF Din Text Cond Pro Light"/>
          <w:sz w:val="32"/>
          <w:szCs w:val="32"/>
        </w:rPr>
        <w:t xml:space="preserve">Система позволяет передавать налоговые декларации, бухгалтерскую отчетность и иные документы, необходимые для исчисления и уплаты налогов и сборов, в электронном виде без дублирования на бумаге, используя обычный доступ к сети Интернет. </w:t>
      </w:r>
    </w:p>
    <w:p w:rsidR="004E5ED7" w:rsidRDefault="004E5ED7" w:rsidP="004E5ED7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sz w:val="32"/>
          <w:szCs w:val="32"/>
        </w:rPr>
      </w:pPr>
    </w:p>
    <w:p w:rsidR="004E5ED7" w:rsidRDefault="003F62D6" w:rsidP="004E5ED7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sz w:val="32"/>
          <w:szCs w:val="32"/>
        </w:rPr>
      </w:pPr>
      <w:r w:rsidRPr="004E5ED7">
        <w:rPr>
          <w:rFonts w:ascii="PF Din Text Cond Pro Light" w:hAnsi="PF Din Text Cond Pro Light"/>
          <w:sz w:val="32"/>
          <w:szCs w:val="32"/>
        </w:rPr>
        <w:t xml:space="preserve">2. При представлении отчетности в электронном виде снижается количество ошибок (перед отправкой файлы отчетности проходят обязательный контроль на правильность заполнения в соответствии с требованиями формата), что ускоряет процесс обработки информации. </w:t>
      </w:r>
      <w:r w:rsidRPr="004E5ED7">
        <w:rPr>
          <w:rFonts w:ascii="PF Din Text Cond Pro Light" w:hAnsi="PF Din Text Cond Pro Light"/>
          <w:sz w:val="32"/>
          <w:szCs w:val="32"/>
        </w:rPr>
        <w:br/>
      </w:r>
    </w:p>
    <w:p w:rsidR="004E5ED7" w:rsidRDefault="003F62D6" w:rsidP="004E5ED7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sz w:val="32"/>
          <w:szCs w:val="32"/>
        </w:rPr>
      </w:pPr>
      <w:r w:rsidRPr="004E5ED7">
        <w:rPr>
          <w:rFonts w:ascii="PF Din Text Cond Pro Light" w:hAnsi="PF Din Text Cond Pro Light"/>
          <w:sz w:val="32"/>
          <w:szCs w:val="32"/>
        </w:rPr>
        <w:t xml:space="preserve">3. Налогоплательщики оперативно получают от налогового органа информацию о доставке отчетности (налоговый орган высылает протокол о приеме налоговых деклараций, бухгалтерской отчетности в электронном виде) и стадии обработки отчетности. </w:t>
      </w:r>
      <w:r w:rsidRPr="004E5ED7">
        <w:rPr>
          <w:rFonts w:ascii="PF Din Text Cond Pro Light" w:hAnsi="PF Din Text Cond Pro Light"/>
          <w:sz w:val="32"/>
          <w:szCs w:val="32"/>
        </w:rPr>
        <w:br/>
      </w:r>
    </w:p>
    <w:p w:rsidR="003F62D6" w:rsidRPr="004E5ED7" w:rsidRDefault="003F62D6" w:rsidP="004E5ED7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sz w:val="32"/>
          <w:szCs w:val="32"/>
        </w:rPr>
      </w:pPr>
      <w:r w:rsidRPr="004E5ED7">
        <w:rPr>
          <w:rFonts w:ascii="PF Din Text Cond Pro Light" w:hAnsi="PF Din Text Cond Pro Light"/>
          <w:sz w:val="32"/>
          <w:szCs w:val="32"/>
        </w:rPr>
        <w:t xml:space="preserve">4. </w:t>
      </w:r>
      <w:proofErr w:type="gramStart"/>
      <w:r w:rsidRPr="004E5ED7">
        <w:rPr>
          <w:rFonts w:ascii="PF Din Text Cond Pro Light" w:hAnsi="PF Din Text Cond Pro Light"/>
          <w:sz w:val="32"/>
          <w:szCs w:val="32"/>
        </w:rPr>
        <w:t xml:space="preserve">Наряду с этим налогоплательщики имеют возможность без посещения инспекции взаимодействовать с налоговыми органами в режиме </w:t>
      </w:r>
      <w:r w:rsidRPr="004E5ED7">
        <w:rPr>
          <w:rFonts w:ascii="PF Din Text Cond Pro Light" w:hAnsi="PF Din Text Cond Pro Light"/>
          <w:sz w:val="32"/>
          <w:szCs w:val="32"/>
          <w:lang w:val="en-US"/>
        </w:rPr>
        <w:t>offline</w:t>
      </w:r>
      <w:r w:rsidRPr="004E5ED7">
        <w:rPr>
          <w:rFonts w:ascii="PF Din Text Cond Pro Light" w:hAnsi="PF Din Text Cond Pro Light"/>
          <w:sz w:val="32"/>
          <w:szCs w:val="32"/>
        </w:rPr>
        <w:t xml:space="preserve"> и получать Акт сверки расчетов налогоплательщика с бюджетом, Справку о состоянии расчетов по налогам, сборам и взносам, Выписку операций по расчетам с бюджетом, Перечень налоговой и бухгалтерской отчетности, представленной в отчетном году, а также необходимые информационные и распорядительные материалы из налоговых органов. </w:t>
      </w:r>
      <w:proofErr w:type="gramEnd"/>
    </w:p>
    <w:p w:rsidR="003F62D6" w:rsidRPr="004E5ED7" w:rsidRDefault="003F62D6" w:rsidP="004E5ED7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bCs/>
          <w:sz w:val="32"/>
          <w:szCs w:val="32"/>
        </w:rPr>
      </w:pPr>
      <w:r w:rsidRPr="004E5ED7">
        <w:rPr>
          <w:rFonts w:ascii="PF Din Text Cond Pro Light" w:hAnsi="PF Din Text Cond Pro Light"/>
          <w:sz w:val="32"/>
          <w:szCs w:val="32"/>
        </w:rPr>
        <w:t>Безопасность передачи информации по</w:t>
      </w:r>
      <w:r w:rsidRPr="004E5ED7">
        <w:rPr>
          <w:rFonts w:ascii="PF Din Text Cond Pro Light" w:hAnsi="PF Din Text Cond Pro Light"/>
          <w:bCs/>
          <w:sz w:val="32"/>
          <w:szCs w:val="32"/>
        </w:rPr>
        <w:t xml:space="preserve"> телекоммуникационным каналам связи обеспечивается средствами криптографической за</w:t>
      </w:r>
      <w:r w:rsidR="004E5ED7">
        <w:rPr>
          <w:rFonts w:ascii="PF Din Text Cond Pro Light" w:hAnsi="PF Din Text Cond Pro Light"/>
          <w:bCs/>
          <w:sz w:val="32"/>
          <w:szCs w:val="32"/>
        </w:rPr>
        <w:t xml:space="preserve">щиты информации в соответствии </w:t>
      </w:r>
      <w:r w:rsidRPr="004E5ED7">
        <w:rPr>
          <w:rFonts w:ascii="PF Din Text Cond Pro Light" w:hAnsi="PF Din Text Cond Pro Light"/>
          <w:bCs/>
          <w:sz w:val="32"/>
          <w:szCs w:val="32"/>
        </w:rPr>
        <w:t>с утвержденными стандартами.</w:t>
      </w:r>
    </w:p>
    <w:p w:rsidR="003F62D6" w:rsidRPr="004E5ED7" w:rsidRDefault="003F62D6" w:rsidP="004E5ED7">
      <w:pPr>
        <w:jc w:val="both"/>
        <w:rPr>
          <w:rFonts w:ascii="PF Din Text Cond Pro Light" w:hAnsi="PF Din Text Cond Pro Light"/>
          <w:b/>
          <w:color w:val="0066B3"/>
          <w:sz w:val="32"/>
          <w:szCs w:val="32"/>
        </w:rPr>
      </w:pPr>
      <w:r w:rsidRPr="004E5ED7">
        <w:rPr>
          <w:rFonts w:ascii="PF Din Text Cond Pro Light" w:hAnsi="PF Din Text Cond Pro Light"/>
          <w:b/>
          <w:color w:val="0066B3"/>
          <w:sz w:val="32"/>
          <w:szCs w:val="32"/>
        </w:rPr>
        <w:t>Внимание!</w:t>
      </w:r>
    </w:p>
    <w:p w:rsidR="003F62D6" w:rsidRPr="004E5ED7" w:rsidRDefault="003F62D6" w:rsidP="004E5ED7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4E5ED7">
        <w:rPr>
          <w:rFonts w:ascii="PF Din Text Cond Pro Light" w:hAnsi="PF Din Text Cond Pro Light"/>
          <w:sz w:val="32"/>
          <w:szCs w:val="32"/>
        </w:rPr>
        <w:t xml:space="preserve">Подробная информация о порядке представления отчетности в электронном виде и реквизиты операторов электронного документооборота размещены на сайте </w:t>
      </w:r>
      <w:hyperlink r:id="rId8" w:history="1">
        <w:r w:rsidRPr="004E5ED7">
          <w:rPr>
            <w:rStyle w:val="a9"/>
            <w:rFonts w:ascii="PF Din Text Cond Pro Light" w:hAnsi="PF Din Text Cond Pro Light"/>
            <w:sz w:val="32"/>
            <w:szCs w:val="32"/>
          </w:rPr>
          <w:t>www.nalog.ru</w:t>
        </w:r>
      </w:hyperlink>
      <w:r w:rsidRPr="004E5ED7">
        <w:rPr>
          <w:rFonts w:ascii="PF Din Text Cond Pro Light" w:hAnsi="PF Din Text Cond Pro Light"/>
          <w:sz w:val="32"/>
          <w:szCs w:val="32"/>
        </w:rPr>
        <w:t xml:space="preserve"> в разделе «Налогообложение в РФ»,   «Представление налоговой и бухгалтерской отчетности»,    «Представление в электронной форме».</w:t>
      </w:r>
    </w:p>
    <w:sectPr w:rsidR="003F62D6" w:rsidRPr="004E5ED7" w:rsidSect="00E75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47" w:rsidRDefault="00421C47">
      <w:r>
        <w:separator/>
      </w:r>
    </w:p>
  </w:endnote>
  <w:endnote w:type="continuationSeparator" w:id="0">
    <w:p w:rsidR="00421C47" w:rsidRDefault="0042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Segoe UI"/>
    <w:panose1 w:val="0200050600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47" w:rsidRDefault="001754EE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C47" w:rsidRDefault="00421C47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421C47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21C47" w:rsidRDefault="00A06E07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421C47" w:rsidRDefault="00421C47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421C47" w:rsidRPr="003D19E0" w:rsidRDefault="00421C47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421C47" w:rsidRPr="007504E5" w:rsidRDefault="00421C47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482509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482509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482509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421C47" w:rsidRPr="007504E5" w:rsidRDefault="00421C47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421C47" w:rsidRPr="007504E5" w:rsidRDefault="00EA0B5B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1C47" w:rsidRPr="008B5C52" w:rsidRDefault="00421C47" w:rsidP="008B5C52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01.01.201</w:t>
          </w:r>
          <w:r w:rsidR="004E5ED7"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</w:p>
      </w:tc>
    </w:tr>
  </w:tbl>
  <w:p w:rsidR="00421C47" w:rsidRDefault="00421C47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D7" w:rsidRDefault="004E5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47" w:rsidRDefault="00421C47">
      <w:r>
        <w:separator/>
      </w:r>
    </w:p>
  </w:footnote>
  <w:footnote w:type="continuationSeparator" w:id="0">
    <w:p w:rsidR="00421C47" w:rsidRDefault="00421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D7" w:rsidRDefault="004E5E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D7" w:rsidRDefault="004E5E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D7" w:rsidRDefault="004E5E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44CA4"/>
    <w:rsid w:val="000532CD"/>
    <w:rsid w:val="00053DC6"/>
    <w:rsid w:val="00066D86"/>
    <w:rsid w:val="00066EB2"/>
    <w:rsid w:val="00084576"/>
    <w:rsid w:val="00087E9D"/>
    <w:rsid w:val="0009011D"/>
    <w:rsid w:val="0009146C"/>
    <w:rsid w:val="000A7379"/>
    <w:rsid w:val="000B2C4C"/>
    <w:rsid w:val="000C548A"/>
    <w:rsid w:val="000D242A"/>
    <w:rsid w:val="000D4A80"/>
    <w:rsid w:val="000E4384"/>
    <w:rsid w:val="00101C26"/>
    <w:rsid w:val="00105050"/>
    <w:rsid w:val="00111678"/>
    <w:rsid w:val="00113C19"/>
    <w:rsid w:val="00125910"/>
    <w:rsid w:val="001351D7"/>
    <w:rsid w:val="00153DDB"/>
    <w:rsid w:val="00170F4F"/>
    <w:rsid w:val="001754EE"/>
    <w:rsid w:val="00195F45"/>
    <w:rsid w:val="001A1A60"/>
    <w:rsid w:val="001A2264"/>
    <w:rsid w:val="001A695A"/>
    <w:rsid w:val="001B1F03"/>
    <w:rsid w:val="001B3601"/>
    <w:rsid w:val="001C233D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7E4E"/>
    <w:rsid w:val="00381F2E"/>
    <w:rsid w:val="00394B8D"/>
    <w:rsid w:val="003C06E4"/>
    <w:rsid w:val="003D19E0"/>
    <w:rsid w:val="003E517B"/>
    <w:rsid w:val="003F62D6"/>
    <w:rsid w:val="004015AF"/>
    <w:rsid w:val="00414245"/>
    <w:rsid w:val="00414C1C"/>
    <w:rsid w:val="0041688D"/>
    <w:rsid w:val="00421C47"/>
    <w:rsid w:val="00432C7C"/>
    <w:rsid w:val="00434532"/>
    <w:rsid w:val="00445695"/>
    <w:rsid w:val="004466C2"/>
    <w:rsid w:val="004513FB"/>
    <w:rsid w:val="00451AAA"/>
    <w:rsid w:val="00453465"/>
    <w:rsid w:val="004664FB"/>
    <w:rsid w:val="00480459"/>
    <w:rsid w:val="0048250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E5ED7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7371B"/>
    <w:rsid w:val="00574ABF"/>
    <w:rsid w:val="00594D45"/>
    <w:rsid w:val="005B09B7"/>
    <w:rsid w:val="005B580F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0748F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D622B"/>
    <w:rsid w:val="006D670C"/>
    <w:rsid w:val="0071005E"/>
    <w:rsid w:val="00714D60"/>
    <w:rsid w:val="00716E7F"/>
    <w:rsid w:val="00717295"/>
    <w:rsid w:val="00721191"/>
    <w:rsid w:val="007246B5"/>
    <w:rsid w:val="007378AA"/>
    <w:rsid w:val="007504E5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C6C12"/>
    <w:rsid w:val="007F18B3"/>
    <w:rsid w:val="007F1AE5"/>
    <w:rsid w:val="00807664"/>
    <w:rsid w:val="008112C6"/>
    <w:rsid w:val="00812C87"/>
    <w:rsid w:val="008175F1"/>
    <w:rsid w:val="00820C52"/>
    <w:rsid w:val="008378CF"/>
    <w:rsid w:val="00850C12"/>
    <w:rsid w:val="008529F7"/>
    <w:rsid w:val="00865532"/>
    <w:rsid w:val="00865AAF"/>
    <w:rsid w:val="008660B5"/>
    <w:rsid w:val="00876839"/>
    <w:rsid w:val="008828A4"/>
    <w:rsid w:val="00891EA0"/>
    <w:rsid w:val="008B5C52"/>
    <w:rsid w:val="008F260C"/>
    <w:rsid w:val="009001A1"/>
    <w:rsid w:val="0090028C"/>
    <w:rsid w:val="0091536F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06E07"/>
    <w:rsid w:val="00A342BA"/>
    <w:rsid w:val="00A36083"/>
    <w:rsid w:val="00A41AA9"/>
    <w:rsid w:val="00A55490"/>
    <w:rsid w:val="00A55A37"/>
    <w:rsid w:val="00A853A4"/>
    <w:rsid w:val="00A904C5"/>
    <w:rsid w:val="00A9098A"/>
    <w:rsid w:val="00A97F82"/>
    <w:rsid w:val="00AB0AAB"/>
    <w:rsid w:val="00AB13B2"/>
    <w:rsid w:val="00AB328F"/>
    <w:rsid w:val="00AB5488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C023A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F4A2F"/>
    <w:rsid w:val="00D01F82"/>
    <w:rsid w:val="00D14C30"/>
    <w:rsid w:val="00D27A72"/>
    <w:rsid w:val="00D303FB"/>
    <w:rsid w:val="00D315EF"/>
    <w:rsid w:val="00D5277F"/>
    <w:rsid w:val="00D726A7"/>
    <w:rsid w:val="00D732B6"/>
    <w:rsid w:val="00D80A50"/>
    <w:rsid w:val="00D863A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0B5B"/>
    <w:rsid w:val="00EA5CB1"/>
    <w:rsid w:val="00EA6288"/>
    <w:rsid w:val="00EB5D36"/>
    <w:rsid w:val="00EB6BB1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899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C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9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7378AA"/>
    <w:pPr>
      <w:spacing w:after="120" w:line="480" w:lineRule="auto"/>
    </w:pPr>
    <w:rPr>
      <w:snapToGrid w:val="0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7378AA"/>
    <w:rPr>
      <w:snapToGrid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A095-C21D-4E7D-9CC7-A1BC891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1881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7460-00-074</cp:lastModifiedBy>
  <cp:revision>5</cp:revision>
  <cp:lastPrinted>2015-01-28T11:26:00Z</cp:lastPrinted>
  <dcterms:created xsi:type="dcterms:W3CDTF">2015-01-28T11:28:00Z</dcterms:created>
  <dcterms:modified xsi:type="dcterms:W3CDTF">2015-02-17T12:52:00Z</dcterms:modified>
</cp:coreProperties>
</file>