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0C" w:rsidRDefault="00D66B0C" w:rsidP="00D66B0C">
      <w:pPr>
        <w:jc w:val="center"/>
        <w:rPr>
          <w:rFonts w:ascii="PF Din Text Cond Pro Light" w:hAnsi="PF Din Text Cond Pro Light" w:cs="PF Din Text Cond Pro Light"/>
          <w:b/>
          <w:bCs/>
          <w:color w:val="4F81BD" w:themeColor="accent1"/>
          <w:sz w:val="44"/>
          <w:szCs w:val="44"/>
        </w:rPr>
      </w:pPr>
    </w:p>
    <w:p w:rsidR="00D66B0C" w:rsidRDefault="00D66B0C" w:rsidP="00D66B0C">
      <w:pPr>
        <w:jc w:val="center"/>
        <w:rPr>
          <w:rFonts w:ascii="PF Din Text Cond Pro Light" w:hAnsi="PF Din Text Cond Pro Light" w:cs="PF Din Text Cond Pro Light"/>
          <w:b/>
          <w:bCs/>
          <w:color w:val="4F81BD" w:themeColor="accent1"/>
          <w:sz w:val="44"/>
          <w:szCs w:val="44"/>
        </w:rPr>
      </w:pPr>
    </w:p>
    <w:p w:rsidR="0067236C" w:rsidRPr="00D91FD7" w:rsidRDefault="0067236C" w:rsidP="0067236C">
      <w:pPr>
        <w:ind w:left="360"/>
        <w:jc w:val="center"/>
        <w:rPr>
          <w:rFonts w:ascii="PF Din Text Cond Pro Light" w:hAnsi="PF Din Text Cond Pro Light"/>
          <w:b/>
          <w:color w:val="4F81BD" w:themeColor="accent1"/>
          <w:sz w:val="68"/>
          <w:szCs w:val="68"/>
        </w:rPr>
      </w:pPr>
      <w:r w:rsidRPr="00D91FD7">
        <w:rPr>
          <w:rFonts w:ascii="PF Din Text Cond Pro Light" w:hAnsi="PF Din Text Cond Pro Light"/>
          <w:b/>
          <w:color w:val="4F81BD" w:themeColor="accent1"/>
          <w:sz w:val="68"/>
          <w:szCs w:val="68"/>
        </w:rPr>
        <w:t>К</w:t>
      </w:r>
      <w:r w:rsidRPr="00D91FD7">
        <w:rPr>
          <w:rFonts w:ascii="PF Din Text Cond Pro Light" w:eastAsia="+mn-ea" w:hAnsi="PF Din Text Cond Pro Light"/>
          <w:b/>
          <w:color w:val="4F81BD" w:themeColor="accent1"/>
          <w:sz w:val="68"/>
          <w:szCs w:val="68"/>
        </w:rPr>
        <w:t>оэффициент</w:t>
      </w:r>
      <w:r w:rsidRPr="00D91FD7">
        <w:rPr>
          <w:rFonts w:ascii="PF Din Text Cond Pro Light" w:hAnsi="PF Din Text Cond Pro Light"/>
          <w:b/>
          <w:color w:val="4F81BD" w:themeColor="accent1"/>
          <w:sz w:val="68"/>
          <w:szCs w:val="68"/>
        </w:rPr>
        <w:t>ы</w:t>
      </w:r>
      <w:r w:rsidRPr="00D91FD7">
        <w:rPr>
          <w:rFonts w:ascii="PF Din Text Cond Pro Light" w:eastAsia="+mn-ea" w:hAnsi="PF Din Text Cond Pro Light"/>
          <w:b/>
          <w:color w:val="4F81BD" w:themeColor="accent1"/>
          <w:sz w:val="68"/>
          <w:szCs w:val="68"/>
        </w:rPr>
        <w:t>-дефлятор</w:t>
      </w:r>
      <w:r w:rsidRPr="00D91FD7">
        <w:rPr>
          <w:rFonts w:ascii="PF Din Text Cond Pro Light" w:hAnsi="PF Din Text Cond Pro Light"/>
          <w:b/>
          <w:color w:val="4F81BD" w:themeColor="accent1"/>
          <w:sz w:val="68"/>
          <w:szCs w:val="68"/>
        </w:rPr>
        <w:t>ы</w:t>
      </w:r>
    </w:p>
    <w:p w:rsidR="0067236C" w:rsidRPr="00D91FD7" w:rsidRDefault="0067236C" w:rsidP="0067236C">
      <w:pPr>
        <w:ind w:left="360"/>
        <w:jc w:val="center"/>
        <w:rPr>
          <w:rFonts w:ascii="PF Din Text Cond Pro Light" w:hAnsi="PF Din Text Cond Pro Light"/>
          <w:b/>
          <w:color w:val="4F81BD" w:themeColor="accent1"/>
          <w:sz w:val="68"/>
          <w:szCs w:val="68"/>
        </w:rPr>
      </w:pPr>
      <w:r w:rsidRPr="00D91FD7">
        <w:rPr>
          <w:rFonts w:ascii="PF Din Text Cond Pro Light" w:hAnsi="PF Din Text Cond Pro Light"/>
          <w:b/>
          <w:color w:val="4F81BD" w:themeColor="accent1"/>
          <w:sz w:val="68"/>
          <w:szCs w:val="68"/>
        </w:rPr>
        <w:t>на 2015 год</w:t>
      </w: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  <w:r>
        <w:rPr>
          <w:rFonts w:ascii="PF Din Text Cond Pro Light" w:hAnsi="PF Din Text Cond Pro Light"/>
          <w:b/>
          <w:color w:val="4F81BD" w:themeColor="accent1"/>
          <w:sz w:val="56"/>
          <w:szCs w:val="56"/>
        </w:rPr>
        <w:tab/>
      </w:r>
      <w:hyperlink r:id="rId7" w:history="1">
        <w:r w:rsidRPr="00D91FD7">
          <w:rPr>
            <w:rFonts w:ascii="PF Din Text Cond Pro Light" w:hAnsi="PF Din Text Cond Pro Light" w:cs="Times New Roman"/>
            <w:sz w:val="32"/>
            <w:szCs w:val="32"/>
          </w:rPr>
          <w:t>Приказом</w:t>
        </w:r>
      </w:hyperlink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Минэкономразвития России от 29.10.2014 N 685</w:t>
      </w:r>
    </w:p>
    <w:p w:rsidR="0067236C" w:rsidRPr="00D91FD7" w:rsidRDefault="0067236C" w:rsidP="0067236C">
      <w:pPr>
        <w:pStyle w:val="ConsPlusNormal"/>
        <w:ind w:firstLine="0"/>
        <w:jc w:val="both"/>
        <w:rPr>
          <w:rFonts w:ascii="PF Din Text Cond Pro Light" w:hAnsi="PF Din Text Cond Pro Light" w:cs="Times New Roman"/>
          <w:sz w:val="32"/>
          <w:szCs w:val="32"/>
        </w:rPr>
      </w:pPr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 утверждены коэффициенты-дефляторы на 2015 г.:</w:t>
      </w: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- для НДФЛ - 1,307 (согласно </w:t>
      </w:r>
      <w:hyperlink r:id="rId8" w:history="1">
        <w:r w:rsidRPr="00D91FD7">
          <w:rPr>
            <w:rFonts w:ascii="PF Din Text Cond Pro Light" w:hAnsi="PF Din Text Cond Pro Light" w:cs="Times New Roman"/>
            <w:sz w:val="32"/>
            <w:szCs w:val="32"/>
          </w:rPr>
          <w:t>п. 3 ст. 227.1</w:t>
        </w:r>
      </w:hyperlink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НК РФ авансовый платеж для иностранных лиц составляет 1568,4</w:t>
      </w:r>
      <w:r w:rsidRPr="00D91FD7">
        <w:rPr>
          <w:rFonts w:ascii="Times New Roman" w:hAnsi="Times New Roman" w:cs="Times New Roman"/>
          <w:sz w:val="32"/>
          <w:szCs w:val="32"/>
        </w:rPr>
        <w:t xml:space="preserve"> </w:t>
      </w:r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руб. в месяц);</w:t>
      </w: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- для УСН - 1,147 (согласно </w:t>
      </w:r>
      <w:hyperlink r:id="rId9" w:history="1">
        <w:r w:rsidRPr="00D91FD7">
          <w:rPr>
            <w:rFonts w:ascii="PF Din Text Cond Pro Light" w:hAnsi="PF Din Text Cond Pro Light" w:cs="Times New Roman"/>
            <w:sz w:val="32"/>
            <w:szCs w:val="32"/>
          </w:rPr>
          <w:t>п. 4 ст. 346.13</w:t>
        </w:r>
      </w:hyperlink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НК РФ величина предельного размера доходов, ограничивающая право на применение УСН, составляет 64 020 000 руб.);</w:t>
      </w: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  <w:r w:rsidRPr="00D91FD7">
        <w:rPr>
          <w:rFonts w:ascii="PF Din Text Cond Pro Light" w:hAnsi="PF Din Text Cond Pro Light" w:cs="Times New Roman"/>
          <w:sz w:val="32"/>
          <w:szCs w:val="32"/>
        </w:rPr>
        <w:t>- для ЕНВД - 1,</w:t>
      </w:r>
      <w:r w:rsidR="000A2E89">
        <w:rPr>
          <w:rFonts w:ascii="PF Din Text Cond Pro Light" w:hAnsi="PF Din Text Cond Pro Light" w:cs="Times New Roman"/>
          <w:sz w:val="32"/>
          <w:szCs w:val="32"/>
        </w:rPr>
        <w:t>798</w:t>
      </w:r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(согласно </w:t>
      </w:r>
      <w:hyperlink r:id="rId10" w:history="1">
        <w:r w:rsidRPr="00D91FD7">
          <w:rPr>
            <w:rFonts w:ascii="PF Din Text Cond Pro Light" w:hAnsi="PF Din Text Cond Pro Light" w:cs="Times New Roman"/>
            <w:sz w:val="32"/>
            <w:szCs w:val="32"/>
          </w:rPr>
          <w:t>п. 4 ст. 346.29</w:t>
        </w:r>
      </w:hyperlink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НК РФ коэффициент К1 используется для расчета ЕНВД);</w:t>
      </w: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  <w:r w:rsidRPr="00D91FD7">
        <w:rPr>
          <w:rFonts w:ascii="PF Din Text Cond Pro Light" w:hAnsi="PF Din Text Cond Pro Light" w:cs="Times New Roman"/>
          <w:sz w:val="32"/>
          <w:szCs w:val="32"/>
        </w:rPr>
        <w:t>- для патентной системы налогообложения - 1,</w:t>
      </w:r>
      <w:r w:rsidR="000A2E89">
        <w:rPr>
          <w:rFonts w:ascii="PF Din Text Cond Pro Light" w:hAnsi="PF Din Text Cond Pro Light" w:cs="Times New Roman"/>
          <w:sz w:val="32"/>
          <w:szCs w:val="32"/>
        </w:rPr>
        <w:t>147</w:t>
      </w:r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(согласно </w:t>
      </w:r>
      <w:hyperlink r:id="rId11" w:history="1">
        <w:r w:rsidRPr="00D91FD7">
          <w:rPr>
            <w:rFonts w:ascii="PF Din Text Cond Pro Light" w:hAnsi="PF Din Text Cond Pro Light" w:cs="Times New Roman"/>
            <w:sz w:val="32"/>
            <w:szCs w:val="32"/>
          </w:rPr>
          <w:t>п. 9 ст. 346.43</w:t>
        </w:r>
      </w:hyperlink>
      <w:r w:rsidRPr="00D91FD7">
        <w:rPr>
          <w:rFonts w:ascii="PF Din Text Cond Pro Light" w:hAnsi="PF Din Text Cond Pro Light" w:cs="Times New Roman"/>
          <w:sz w:val="32"/>
          <w:szCs w:val="32"/>
        </w:rPr>
        <w:t xml:space="preserve"> НК РФ индексируются минимальный и максимальный размеры потенциально возможного к получению годового дохода);</w:t>
      </w: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</w:p>
    <w:p w:rsidR="0067236C" w:rsidRPr="00D91FD7" w:rsidRDefault="0067236C" w:rsidP="0067236C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sz w:val="32"/>
          <w:szCs w:val="32"/>
        </w:rPr>
      </w:pPr>
      <w:r w:rsidRPr="00D91FD7">
        <w:rPr>
          <w:rFonts w:ascii="PF Din Text Cond Pro Light" w:hAnsi="PF Din Text Cond Pro Light"/>
          <w:sz w:val="32"/>
          <w:szCs w:val="32"/>
        </w:rPr>
        <w:t>- по налогу на имущество физических лиц  1,147 (н</w:t>
      </w:r>
      <w:r w:rsidRPr="00D91FD7">
        <w:rPr>
          <w:rFonts w:ascii="PF Din Text Cond Pro Light" w:hAnsi="PF Din Text Cond Pro Light" w:cs="PF Din Text Cond Pro Light"/>
          <w:sz w:val="32"/>
          <w:szCs w:val="32"/>
        </w:rPr>
        <w:t xml:space="preserve">алоговая база определяется в отношении каждого объекта налогообложения как его инвентаризационная стоимость, исчисленная с учетом </w:t>
      </w:r>
      <w:hyperlink r:id="rId12" w:history="1">
        <w:r w:rsidRPr="00E617C0">
          <w:rPr>
            <w:rFonts w:ascii="PF Din Text Cond Pro Light" w:hAnsi="PF Din Text Cond Pro Light" w:cs="PF Din Text Cond Pro Light"/>
            <w:sz w:val="32"/>
            <w:szCs w:val="32"/>
          </w:rPr>
          <w:t>коэффициента-дефлятора</w:t>
        </w:r>
      </w:hyperlink>
      <w:r w:rsidRPr="00E617C0">
        <w:rPr>
          <w:rFonts w:ascii="PF Din Text Cond Pro Light" w:hAnsi="PF Din Text Cond Pro Light" w:cs="PF Din Text Cond Pro Light"/>
          <w:sz w:val="32"/>
          <w:szCs w:val="32"/>
        </w:rPr>
        <w:t xml:space="preserve"> на основании последних данных об инвен</w:t>
      </w:r>
      <w:r w:rsidRPr="00D91FD7">
        <w:rPr>
          <w:rFonts w:ascii="PF Din Text Cond Pro Light" w:hAnsi="PF Din Text Cond Pro Light" w:cs="PF Din Text Cond Pro Light"/>
          <w:sz w:val="32"/>
          <w:szCs w:val="32"/>
        </w:rPr>
        <w:t>таризационной стоимости, представленных в установленном порядке в налоговые органы до 1 марта 2013 года).</w:t>
      </w:r>
    </w:p>
    <w:p w:rsidR="0067236C" w:rsidRPr="00D91FD7" w:rsidRDefault="0067236C" w:rsidP="0067236C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32"/>
          <w:szCs w:val="32"/>
        </w:rPr>
      </w:pPr>
    </w:p>
    <w:p w:rsidR="0067236C" w:rsidRPr="00D91FD7" w:rsidRDefault="0067236C" w:rsidP="0067236C">
      <w:pPr>
        <w:pStyle w:val="ConsPlusNormal"/>
        <w:ind w:firstLine="0"/>
        <w:jc w:val="both"/>
        <w:rPr>
          <w:rFonts w:ascii="PF Din Text Cond Pro Light" w:hAnsi="PF Din Text Cond Pro Light" w:cs="Times New Roman"/>
          <w:b/>
          <w:color w:val="0070C0"/>
          <w:sz w:val="32"/>
          <w:szCs w:val="32"/>
        </w:rPr>
      </w:pPr>
      <w:r w:rsidRPr="00D91FD7">
        <w:rPr>
          <w:rFonts w:ascii="PF Din Text Cond Pro Light" w:hAnsi="PF Din Text Cond Pro Light" w:cs="Times New Roman"/>
          <w:b/>
          <w:color w:val="0070C0"/>
          <w:sz w:val="32"/>
          <w:szCs w:val="32"/>
        </w:rPr>
        <w:t>Внимание!</w:t>
      </w:r>
    </w:p>
    <w:p w:rsidR="0067236C" w:rsidRPr="00E617C0" w:rsidRDefault="0067236C" w:rsidP="0067236C">
      <w:pPr>
        <w:pStyle w:val="a7"/>
        <w:spacing w:before="0" w:beforeAutospacing="0" w:after="0" w:afterAutospacing="0"/>
        <w:jc w:val="both"/>
        <w:rPr>
          <w:rFonts w:ascii="PF Din Text Cond Pro Light" w:hAnsi="PF Din Text Cond Pro Light"/>
          <w:sz w:val="32"/>
          <w:szCs w:val="32"/>
        </w:rPr>
      </w:pPr>
      <w:r w:rsidRPr="00E617C0">
        <w:rPr>
          <w:rFonts w:ascii="PF Din Text Cond Pro Light" w:hAnsi="PF Din Text Cond Pro Light"/>
          <w:sz w:val="32"/>
          <w:szCs w:val="32"/>
        </w:rPr>
        <w:t>Соответствующие разъяснения доступны в Интернет-сервисе «</w:t>
      </w:r>
      <w:hyperlink r:id="rId13" w:history="1">
        <w:r w:rsidRPr="00E617C0">
          <w:rPr>
            <w:rStyle w:val="a8"/>
            <w:rFonts w:ascii="PF Din Text Cond Pro Light" w:hAnsi="PF Din Text Cond Pro Light"/>
            <w:color w:val="auto"/>
            <w:sz w:val="32"/>
            <w:szCs w:val="32"/>
          </w:rPr>
          <w:t>Разъяснения ФНС, обязательные для применения налоговыми органами</w:t>
        </w:r>
      </w:hyperlink>
      <w:r w:rsidRPr="00E617C0">
        <w:rPr>
          <w:rFonts w:ascii="PF Din Text Cond Pro Light" w:hAnsi="PF Din Text Cond Pro Light"/>
          <w:sz w:val="32"/>
          <w:szCs w:val="32"/>
        </w:rPr>
        <w:t>».</w:t>
      </w:r>
    </w:p>
    <w:p w:rsidR="0067236C" w:rsidRPr="00D91FD7" w:rsidRDefault="0067236C" w:rsidP="0067236C">
      <w:pPr>
        <w:tabs>
          <w:tab w:val="left" w:pos="2310"/>
        </w:tabs>
        <w:ind w:left="360"/>
        <w:rPr>
          <w:rFonts w:ascii="PF Din Text Cond Pro Light" w:hAnsi="PF Din Text Cond Pro Light"/>
          <w:b/>
          <w:color w:val="4F81BD" w:themeColor="accent1"/>
          <w:sz w:val="32"/>
          <w:szCs w:val="32"/>
        </w:rPr>
      </w:pPr>
    </w:p>
    <w:p w:rsidR="00D66B0C" w:rsidRDefault="00D66B0C" w:rsidP="00D66B0C">
      <w:pPr>
        <w:jc w:val="center"/>
        <w:rPr>
          <w:rFonts w:ascii="PF Din Text Cond Pro Light" w:hAnsi="PF Din Text Cond Pro Light" w:cs="PF Din Text Cond Pro Light"/>
          <w:b/>
          <w:bCs/>
          <w:color w:val="4F81BD" w:themeColor="accent1"/>
          <w:sz w:val="44"/>
          <w:szCs w:val="44"/>
        </w:rPr>
      </w:pPr>
    </w:p>
    <w:sectPr w:rsidR="00D66B0C" w:rsidSect="00E758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7C" w:rsidRDefault="00E4517C">
      <w:r>
        <w:separator/>
      </w:r>
    </w:p>
  </w:endnote>
  <w:endnote w:type="continuationSeparator" w:id="0">
    <w:p w:rsidR="00E4517C" w:rsidRDefault="00E4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 Din Text Cond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3B" w:rsidRDefault="008935C6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67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73B" w:rsidRDefault="0049673B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49673B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49673B" w:rsidRDefault="00923C79" w:rsidP="007504E5">
          <w:r>
            <w:rPr>
              <w:noProof/>
            </w:rPr>
            <w:drawing>
              <wp:inline distT="0" distB="0" distL="0" distR="0">
                <wp:extent cx="504825" cy="518795"/>
                <wp:effectExtent l="19050" t="0" r="9525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8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49673B" w:rsidRDefault="0049673B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49673B" w:rsidRPr="003D19E0" w:rsidRDefault="00923C79" w:rsidP="00D80A5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923C79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 w:rsidR="0049673B"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="0049673B"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49673B" w:rsidRPr="00923C79" w:rsidRDefault="0049673B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</w:t>
          </w:r>
          <w:r w:rsidR="00923C79"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1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 xml:space="preserve">) </w:t>
          </w:r>
          <w:r w:rsidR="0067236C">
            <w:rPr>
              <w:rFonts w:ascii="PF Din Text Cond Pro Light" w:hAnsi="PF Din Text Cond Pro Light"/>
              <w:color w:val="FFFFFF"/>
              <w:sz w:val="22"/>
              <w:szCs w:val="22"/>
            </w:rPr>
            <w:t>728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67236C">
            <w:rPr>
              <w:rFonts w:ascii="PF Din Text Cond Pro Light" w:hAnsi="PF Din Text Cond Pro Light"/>
              <w:color w:val="FFFFFF"/>
              <w:sz w:val="22"/>
              <w:szCs w:val="22"/>
            </w:rPr>
            <w:t>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 w:rsidR="0067236C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="00923C79">
            <w:rPr>
              <w:rFonts w:ascii="PF Din Text Cond Pro Light" w:hAnsi="PF Din Text Cond Pro Light"/>
              <w:color w:val="FFFFFF"/>
              <w:sz w:val="22"/>
              <w:szCs w:val="22"/>
              <w:lang w:val="en-US"/>
            </w:rPr>
            <w:t>0</w:t>
          </w:r>
        </w:p>
        <w:p w:rsidR="0049673B" w:rsidRPr="007504E5" w:rsidRDefault="0049673B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49673B" w:rsidRPr="00923C79" w:rsidRDefault="000B0C30" w:rsidP="007504E5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14400" cy="29527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9673B" w:rsidRPr="00923C79" w:rsidRDefault="00923C79" w:rsidP="0084385C">
          <w:pPr>
            <w:ind w:left="360"/>
            <w:jc w:val="center"/>
            <w:rPr>
              <w:lang w:val="en-US"/>
            </w:rPr>
          </w:pPr>
          <w:r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01.</w:t>
          </w:r>
          <w:r w:rsidR="0084385C"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01</w:t>
          </w:r>
          <w:r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.201</w:t>
          </w:r>
          <w:r w:rsidR="0084385C"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  <w:t>5</w:t>
          </w:r>
        </w:p>
      </w:tc>
    </w:tr>
  </w:tbl>
  <w:p w:rsidR="0049673B" w:rsidRDefault="0049673B" w:rsidP="00E75892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0C" w:rsidRDefault="00D66B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7C" w:rsidRDefault="00E4517C">
      <w:r>
        <w:separator/>
      </w:r>
    </w:p>
  </w:footnote>
  <w:footnote w:type="continuationSeparator" w:id="0">
    <w:p w:rsidR="00E4517C" w:rsidRDefault="00E4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0C" w:rsidRDefault="00D66B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0C" w:rsidRDefault="00D66B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B0C" w:rsidRDefault="00D66B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232D"/>
    <w:rsid w:val="00003A8D"/>
    <w:rsid w:val="00024296"/>
    <w:rsid w:val="00032E79"/>
    <w:rsid w:val="00037C85"/>
    <w:rsid w:val="00042CA9"/>
    <w:rsid w:val="000532CD"/>
    <w:rsid w:val="00053DC6"/>
    <w:rsid w:val="00066D86"/>
    <w:rsid w:val="00066EB2"/>
    <w:rsid w:val="00073A3B"/>
    <w:rsid w:val="00074861"/>
    <w:rsid w:val="00081A80"/>
    <w:rsid w:val="00087E9D"/>
    <w:rsid w:val="0009011D"/>
    <w:rsid w:val="0009146C"/>
    <w:rsid w:val="000A2E89"/>
    <w:rsid w:val="000A7379"/>
    <w:rsid w:val="000B0C30"/>
    <w:rsid w:val="000B2C4C"/>
    <w:rsid w:val="000C548A"/>
    <w:rsid w:val="000D242A"/>
    <w:rsid w:val="000D4A80"/>
    <w:rsid w:val="00101C26"/>
    <w:rsid w:val="00105050"/>
    <w:rsid w:val="00111678"/>
    <w:rsid w:val="00113C19"/>
    <w:rsid w:val="00125910"/>
    <w:rsid w:val="001351D7"/>
    <w:rsid w:val="00153DDB"/>
    <w:rsid w:val="00170F4F"/>
    <w:rsid w:val="001A1A60"/>
    <w:rsid w:val="001A2264"/>
    <w:rsid w:val="001A695A"/>
    <w:rsid w:val="001B3601"/>
    <w:rsid w:val="001C233D"/>
    <w:rsid w:val="001D0B59"/>
    <w:rsid w:val="001D3C9F"/>
    <w:rsid w:val="001F5472"/>
    <w:rsid w:val="00200D00"/>
    <w:rsid w:val="00200E2D"/>
    <w:rsid w:val="002058A5"/>
    <w:rsid w:val="0021286E"/>
    <w:rsid w:val="002207C7"/>
    <w:rsid w:val="00220EA6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05789"/>
    <w:rsid w:val="003128F2"/>
    <w:rsid w:val="003502DF"/>
    <w:rsid w:val="00356E54"/>
    <w:rsid w:val="003746CD"/>
    <w:rsid w:val="00377D5F"/>
    <w:rsid w:val="00377E4E"/>
    <w:rsid w:val="00381F2E"/>
    <w:rsid w:val="00394B8D"/>
    <w:rsid w:val="003C06E4"/>
    <w:rsid w:val="003D19E0"/>
    <w:rsid w:val="003E517B"/>
    <w:rsid w:val="004015AF"/>
    <w:rsid w:val="00414245"/>
    <w:rsid w:val="00414C1C"/>
    <w:rsid w:val="00434532"/>
    <w:rsid w:val="00445695"/>
    <w:rsid w:val="004466C2"/>
    <w:rsid w:val="004513FB"/>
    <w:rsid w:val="00451AAA"/>
    <w:rsid w:val="00453465"/>
    <w:rsid w:val="004664FB"/>
    <w:rsid w:val="00480459"/>
    <w:rsid w:val="004832AB"/>
    <w:rsid w:val="004904BF"/>
    <w:rsid w:val="0049380F"/>
    <w:rsid w:val="0049673B"/>
    <w:rsid w:val="00496CFE"/>
    <w:rsid w:val="004B14D3"/>
    <w:rsid w:val="004B35C6"/>
    <w:rsid w:val="004B628F"/>
    <w:rsid w:val="004C2F15"/>
    <w:rsid w:val="004C318F"/>
    <w:rsid w:val="004C724A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7371B"/>
    <w:rsid w:val="00574ABF"/>
    <w:rsid w:val="00594D45"/>
    <w:rsid w:val="005B09B7"/>
    <w:rsid w:val="005C07CF"/>
    <w:rsid w:val="005C5FCF"/>
    <w:rsid w:val="005D709E"/>
    <w:rsid w:val="005E6CCA"/>
    <w:rsid w:val="005E7DEF"/>
    <w:rsid w:val="005F07A0"/>
    <w:rsid w:val="005F1C56"/>
    <w:rsid w:val="005F415A"/>
    <w:rsid w:val="00601667"/>
    <w:rsid w:val="006050E5"/>
    <w:rsid w:val="00612F6F"/>
    <w:rsid w:val="00614E40"/>
    <w:rsid w:val="00624C51"/>
    <w:rsid w:val="00624F8F"/>
    <w:rsid w:val="00637C29"/>
    <w:rsid w:val="00641BC7"/>
    <w:rsid w:val="006421A2"/>
    <w:rsid w:val="00644650"/>
    <w:rsid w:val="0065303F"/>
    <w:rsid w:val="00663D4C"/>
    <w:rsid w:val="0067236C"/>
    <w:rsid w:val="00675894"/>
    <w:rsid w:val="00677DBB"/>
    <w:rsid w:val="006869D7"/>
    <w:rsid w:val="006A0109"/>
    <w:rsid w:val="006A317B"/>
    <w:rsid w:val="006B0A39"/>
    <w:rsid w:val="006B5D3B"/>
    <w:rsid w:val="006D622B"/>
    <w:rsid w:val="00714D60"/>
    <w:rsid w:val="00716E7F"/>
    <w:rsid w:val="00717295"/>
    <w:rsid w:val="00721191"/>
    <w:rsid w:val="007246B5"/>
    <w:rsid w:val="007504E5"/>
    <w:rsid w:val="007526CB"/>
    <w:rsid w:val="0077120C"/>
    <w:rsid w:val="00773F0B"/>
    <w:rsid w:val="0078112B"/>
    <w:rsid w:val="0079014F"/>
    <w:rsid w:val="007A1843"/>
    <w:rsid w:val="007A587F"/>
    <w:rsid w:val="007B4874"/>
    <w:rsid w:val="007B65A9"/>
    <w:rsid w:val="007B7478"/>
    <w:rsid w:val="007C16B4"/>
    <w:rsid w:val="007C1749"/>
    <w:rsid w:val="007D3C02"/>
    <w:rsid w:val="007F18B3"/>
    <w:rsid w:val="00807664"/>
    <w:rsid w:val="008112C6"/>
    <w:rsid w:val="00812C87"/>
    <w:rsid w:val="00815C2E"/>
    <w:rsid w:val="008175F1"/>
    <w:rsid w:val="008378CF"/>
    <w:rsid w:val="0084385C"/>
    <w:rsid w:val="00850C12"/>
    <w:rsid w:val="008529F7"/>
    <w:rsid w:val="00865AAF"/>
    <w:rsid w:val="00876839"/>
    <w:rsid w:val="008828A4"/>
    <w:rsid w:val="00891EA0"/>
    <w:rsid w:val="008935C6"/>
    <w:rsid w:val="008F260C"/>
    <w:rsid w:val="009001A1"/>
    <w:rsid w:val="0090028C"/>
    <w:rsid w:val="00923C79"/>
    <w:rsid w:val="009318EC"/>
    <w:rsid w:val="009413E7"/>
    <w:rsid w:val="00947B0C"/>
    <w:rsid w:val="00957236"/>
    <w:rsid w:val="0096352E"/>
    <w:rsid w:val="009939EB"/>
    <w:rsid w:val="009972E3"/>
    <w:rsid w:val="009A4093"/>
    <w:rsid w:val="009C6EFF"/>
    <w:rsid w:val="009D2A53"/>
    <w:rsid w:val="009E5846"/>
    <w:rsid w:val="00A00596"/>
    <w:rsid w:val="00A342BA"/>
    <w:rsid w:val="00A343DE"/>
    <w:rsid w:val="00A36083"/>
    <w:rsid w:val="00A41AA9"/>
    <w:rsid w:val="00A46FF0"/>
    <w:rsid w:val="00A53A3A"/>
    <w:rsid w:val="00A55490"/>
    <w:rsid w:val="00A55A37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D4CE1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4434C"/>
    <w:rsid w:val="00B45382"/>
    <w:rsid w:val="00B458EB"/>
    <w:rsid w:val="00B57512"/>
    <w:rsid w:val="00B5777D"/>
    <w:rsid w:val="00B5793F"/>
    <w:rsid w:val="00B6416A"/>
    <w:rsid w:val="00B64BEA"/>
    <w:rsid w:val="00B72E6B"/>
    <w:rsid w:val="00B76ED9"/>
    <w:rsid w:val="00B811B1"/>
    <w:rsid w:val="00B934A1"/>
    <w:rsid w:val="00BC1F5B"/>
    <w:rsid w:val="00BC53F8"/>
    <w:rsid w:val="00BD3318"/>
    <w:rsid w:val="00BD5A8F"/>
    <w:rsid w:val="00BF3DB0"/>
    <w:rsid w:val="00C0044A"/>
    <w:rsid w:val="00C00DE8"/>
    <w:rsid w:val="00C02433"/>
    <w:rsid w:val="00C03F5A"/>
    <w:rsid w:val="00C0460E"/>
    <w:rsid w:val="00C05727"/>
    <w:rsid w:val="00C20393"/>
    <w:rsid w:val="00C260F2"/>
    <w:rsid w:val="00C52427"/>
    <w:rsid w:val="00C600DA"/>
    <w:rsid w:val="00C65E39"/>
    <w:rsid w:val="00C7448B"/>
    <w:rsid w:val="00C755D4"/>
    <w:rsid w:val="00C75671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F4A2F"/>
    <w:rsid w:val="00D01F82"/>
    <w:rsid w:val="00D14C30"/>
    <w:rsid w:val="00D2152A"/>
    <w:rsid w:val="00D27A72"/>
    <w:rsid w:val="00D303FB"/>
    <w:rsid w:val="00D5277F"/>
    <w:rsid w:val="00D64543"/>
    <w:rsid w:val="00D66B0C"/>
    <w:rsid w:val="00D726A7"/>
    <w:rsid w:val="00D80A50"/>
    <w:rsid w:val="00D863A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4517C"/>
    <w:rsid w:val="00E5226D"/>
    <w:rsid w:val="00E5241E"/>
    <w:rsid w:val="00E732A8"/>
    <w:rsid w:val="00E75892"/>
    <w:rsid w:val="00E75BFE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E60CB"/>
    <w:rsid w:val="00F12FB4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0977"/>
    <w:rsid w:val="00F729F8"/>
    <w:rsid w:val="00F72A6A"/>
    <w:rsid w:val="00F7587A"/>
    <w:rsid w:val="00F832C0"/>
    <w:rsid w:val="00F9484A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D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paragraph" w:styleId="a7">
    <w:name w:val="Normal (Web)"/>
    <w:basedOn w:val="a"/>
    <w:unhideWhenUsed/>
    <w:rsid w:val="007526C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526CB"/>
    <w:rPr>
      <w:color w:val="0000FF"/>
      <w:u w:val="single"/>
    </w:rPr>
  </w:style>
  <w:style w:type="paragraph" w:styleId="2">
    <w:name w:val="Body Text Indent 2"/>
    <w:basedOn w:val="a"/>
    <w:link w:val="21"/>
    <w:unhideWhenUsed/>
    <w:rsid w:val="004C2F15"/>
    <w:pPr>
      <w:ind w:firstLine="709"/>
      <w:jc w:val="both"/>
      <w:outlineLvl w:val="0"/>
    </w:pPr>
    <w:rPr>
      <w:rFonts w:ascii="Calibri" w:eastAsia="Calibri" w:hAnsi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C2F15"/>
    <w:rPr>
      <w:sz w:val="24"/>
      <w:szCs w:val="24"/>
    </w:rPr>
  </w:style>
  <w:style w:type="character" w:customStyle="1" w:styleId="21">
    <w:name w:val="Основной текст с отступом 2 Знак1"/>
    <w:basedOn w:val="a0"/>
    <w:link w:val="2"/>
    <w:locked/>
    <w:rsid w:val="004C2F15"/>
    <w:rPr>
      <w:rFonts w:ascii="Calibri" w:eastAsia="Calibri" w:hAnsi="Calibri"/>
      <w:sz w:val="28"/>
      <w:szCs w:val="28"/>
    </w:rPr>
  </w:style>
  <w:style w:type="paragraph" w:styleId="a9">
    <w:name w:val="Balloon Text"/>
    <w:basedOn w:val="a"/>
    <w:link w:val="aa"/>
    <w:rsid w:val="00F709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09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2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9F122072C3A3D7D0529A58AE59245E99E8BD1C99C591187E41E35BE1F14EF14C5FDEA7468n7p3K" TargetMode="External"/><Relationship Id="rId13" Type="http://schemas.openxmlformats.org/officeDocument/2006/relationships/hyperlink" Target="http://www.nalog.ru/rn74/about_fts/about_nalog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5D9F122072C3A3D7D0529A58AE59245E99E8CDECB93591187E41E35BEn1pFK" TargetMode="External"/><Relationship Id="rId12" Type="http://schemas.openxmlformats.org/officeDocument/2006/relationships/hyperlink" Target="consultantplus://offline/ref=B672CFDF48AE358B0ACDF9BF3CBB6B4C8212117C9A366874A170D3780834EDEFEBD669DB2AE29A37F0CCJ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D9F122072C3A3D7D0529A58AE59245E99E8BD1C99C591187E41E35BE1F14EF14C5FDEA7B6An7p2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5D9F122072C3A3D7D0529A58AE59245E99E8BD1C99C591187E41E35BE1F14EF14C5FDEC7468n7pD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D9F122072C3A3D7D0529A58AE59245E99E8BD1C99C591187E41E35BE1F14EF14C5FDEA7464n7p3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1982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2014-04-02T05:12:00Z</cp:lastPrinted>
  <dcterms:created xsi:type="dcterms:W3CDTF">2015-02-06T07:42:00Z</dcterms:created>
  <dcterms:modified xsi:type="dcterms:W3CDTF">2015-02-06T07:42:00Z</dcterms:modified>
</cp:coreProperties>
</file>