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F69" w:rsidRDefault="004B10B5">
      <w:pPr>
        <w:pStyle w:val="10"/>
        <w:framePr w:w="10296" w:h="1166" w:hRule="exact" w:wrap="none" w:vAnchor="page" w:hAnchor="page" w:x="875" w:y="625"/>
        <w:shd w:val="clear" w:color="auto" w:fill="auto"/>
      </w:pPr>
      <w:bookmarkStart w:id="0" w:name="bookmark0"/>
      <w:r>
        <w:t>Перечень информационных систем, банков данных, реестров, регистров,</w:t>
      </w:r>
      <w:r>
        <w:br/>
        <w:t xml:space="preserve">находящихся в ведении </w:t>
      </w:r>
      <w:bookmarkEnd w:id="0"/>
      <w:r w:rsidR="009E1D24">
        <w:t>Администрации Аргаяшского сельского поселения</w:t>
      </w:r>
    </w:p>
    <w:tbl>
      <w:tblPr>
        <w:tblOverlap w:val="never"/>
        <w:tblW w:w="1029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76"/>
        <w:gridCol w:w="5520"/>
      </w:tblGrid>
      <w:tr w:rsidR="00851F69" w:rsidTr="006A6EBE">
        <w:trPr>
          <w:trHeight w:hRule="exact" w:val="62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Наименование информационной системы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center"/>
            </w:pPr>
            <w:r>
              <w:rPr>
                <w:rStyle w:val="212pt"/>
              </w:rPr>
              <w:t>Краткое описание информационной системы</w:t>
            </w:r>
          </w:p>
        </w:tc>
      </w:tr>
      <w:tr w:rsidR="00851F69" w:rsidTr="006A6EBE">
        <w:trPr>
          <w:trHeight w:hRule="exact" w:val="96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>Автоматизированная система бухгалтерского учета «1С 8.2: Бухгалтерия: бюджет»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>Комплексная автоматизация бюджетного учета финансово-хозяйственной деятельности</w:t>
            </w:r>
          </w:p>
        </w:tc>
      </w:tr>
      <w:tr w:rsidR="00851F69" w:rsidTr="006A6EBE">
        <w:trPr>
          <w:trHeight w:hRule="exact" w:val="91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>Автоматизированная система бухгалтерского учета «1С 8.2: Бухгалтерия: зарплата и кадры»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302" w:lineRule="exact"/>
              <w:jc w:val="both"/>
            </w:pPr>
            <w:r>
              <w:rPr>
                <w:rStyle w:val="212pt0"/>
              </w:rPr>
              <w:t>Комплексная автоматизация расчета заработной платы и ведения кадрового учета</w:t>
            </w:r>
          </w:p>
        </w:tc>
      </w:tr>
      <w:tr w:rsidR="00851F69" w:rsidTr="006A6EBE">
        <w:trPr>
          <w:trHeight w:hRule="exact" w:val="1181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</w:pPr>
            <w:r>
              <w:rPr>
                <w:rStyle w:val="212pt0"/>
              </w:rPr>
              <w:t>Автоматизированная система «АЦК- Финансы»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>Электронный документооборот финансовых и платежных документов с Управлением казначейства Министерства финансов Челябинской области</w:t>
            </w:r>
          </w:p>
        </w:tc>
      </w:tr>
      <w:tr w:rsidR="00851F69" w:rsidTr="006A6EBE">
        <w:trPr>
          <w:trHeight w:hRule="exact" w:val="1214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F69" w:rsidRDefault="004B10B5" w:rsidP="001E3948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40" w:lineRule="exact"/>
            </w:pPr>
            <w:r>
              <w:rPr>
                <w:rStyle w:val="212pt0"/>
              </w:rPr>
              <w:t>Автоматизированная система «С</w:t>
            </w:r>
            <w:r w:rsidR="001E3948">
              <w:rPr>
                <w:rStyle w:val="212pt0"/>
              </w:rPr>
              <w:t>УФ</w:t>
            </w:r>
            <w:r>
              <w:rPr>
                <w:rStyle w:val="212pt0"/>
              </w:rPr>
              <w:t>Д»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 xml:space="preserve">Электронный документооборот финансовых и платежных документов с </w:t>
            </w:r>
            <w:r w:rsidR="007B4FDB">
              <w:rPr>
                <w:rStyle w:val="212pt0"/>
              </w:rPr>
              <w:t>Отделением №23 Управления</w:t>
            </w:r>
            <w:r>
              <w:rPr>
                <w:rStyle w:val="212pt0"/>
              </w:rPr>
              <w:t xml:space="preserve"> Федерального казначейства по Челябинской области</w:t>
            </w:r>
          </w:p>
        </w:tc>
      </w:tr>
      <w:tr w:rsidR="00851F69" w:rsidTr="00197A03">
        <w:trPr>
          <w:trHeight w:hRule="exact" w:val="65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F69" w:rsidRPr="007B4FDB" w:rsidRDefault="007B4FDB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7B4FDB">
              <w:rPr>
                <w:sz w:val="24"/>
                <w:szCs w:val="24"/>
              </w:rPr>
              <w:t>Информационная система управления «Электронный бюджет»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6AB9" w:rsidRDefault="00236AB9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  <w:rPr>
                <w:color w:val="auto"/>
                <w:sz w:val="24"/>
                <w:szCs w:val="24"/>
                <w:lang w:bidi="ar-SA"/>
              </w:rPr>
            </w:pPr>
            <w:r>
              <w:rPr>
                <w:color w:val="auto"/>
                <w:sz w:val="24"/>
                <w:szCs w:val="24"/>
                <w:lang w:bidi="ar-SA"/>
              </w:rPr>
              <w:t>Ведение</w:t>
            </w:r>
            <w:r w:rsidRPr="00236AB9">
              <w:rPr>
                <w:color w:val="auto"/>
                <w:sz w:val="24"/>
                <w:szCs w:val="24"/>
                <w:lang w:bidi="ar-SA"/>
              </w:rPr>
              <w:t xml:space="preserve"> реестра участников </w:t>
            </w:r>
          </w:p>
          <w:p w:rsidR="00851F69" w:rsidRPr="00236AB9" w:rsidRDefault="00236AB9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236AB9">
              <w:rPr>
                <w:color w:val="auto"/>
                <w:sz w:val="24"/>
                <w:szCs w:val="24"/>
                <w:lang w:bidi="ar-SA"/>
              </w:rPr>
              <w:t>бюджетного процесса</w:t>
            </w:r>
          </w:p>
        </w:tc>
      </w:tr>
      <w:tr w:rsidR="00851F69" w:rsidTr="006A6EBE">
        <w:trPr>
          <w:trHeight w:hRule="exact" w:val="1512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307" w:lineRule="exact"/>
            </w:pPr>
            <w:r>
              <w:rPr>
                <w:rStyle w:val="212pt0"/>
              </w:rPr>
              <w:t>Справочная правовая система «Консультант Плюс»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F69" w:rsidRDefault="004B10B5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</w:pPr>
            <w:r>
              <w:rPr>
                <w:rStyle w:val="212pt0"/>
              </w:rPr>
              <w:t>Используется для получения правовой и справочной информации (официальные тексты нормативно-правовых актов, изменения в федеральном законодательстве, статьи, комментарии)</w:t>
            </w:r>
          </w:p>
        </w:tc>
      </w:tr>
      <w:tr w:rsidR="006A6EBE" w:rsidTr="000C3CDE">
        <w:trPr>
          <w:trHeight w:hRule="exact" w:val="769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EBE" w:rsidRDefault="006A6EBE">
            <w:pPr>
              <w:pStyle w:val="20"/>
              <w:framePr w:w="10296" w:h="13411" w:wrap="none" w:vAnchor="page" w:hAnchor="page" w:x="875" w:y="2006"/>
              <w:shd w:val="clear" w:color="auto" w:fill="auto"/>
              <w:spacing w:line="307" w:lineRule="exact"/>
              <w:rPr>
                <w:rStyle w:val="212pt0"/>
              </w:rPr>
            </w:pPr>
            <w:r>
              <w:rPr>
                <w:rStyle w:val="212pt0"/>
              </w:rPr>
              <w:t>Реестр расходных обязательств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EBE" w:rsidRDefault="000C3CDE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  <w:rPr>
                <w:rStyle w:val="212pt0"/>
              </w:rPr>
            </w:pPr>
            <w:r>
              <w:rPr>
                <w:rStyle w:val="212pt0"/>
              </w:rPr>
              <w:t>Перечень нормативно-правовых актов, заключенных органом местного самоуправления</w:t>
            </w:r>
          </w:p>
        </w:tc>
      </w:tr>
      <w:tr w:rsidR="006A6EBE" w:rsidTr="000C3CDE">
        <w:trPr>
          <w:trHeight w:hRule="exact" w:val="82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A6EBE" w:rsidRDefault="000C3CDE">
            <w:pPr>
              <w:pStyle w:val="20"/>
              <w:framePr w:w="10296" w:h="13411" w:wrap="none" w:vAnchor="page" w:hAnchor="page" w:x="875" w:y="2006"/>
              <w:shd w:val="clear" w:color="auto" w:fill="auto"/>
              <w:spacing w:line="307" w:lineRule="exact"/>
              <w:rPr>
                <w:rStyle w:val="212pt0"/>
              </w:rPr>
            </w:pPr>
            <w:r>
              <w:rPr>
                <w:rStyle w:val="212pt0"/>
              </w:rPr>
              <w:t>АС ПОЗ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A6EBE" w:rsidRDefault="000C3CDE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  <w:rPr>
                <w:rStyle w:val="212pt0"/>
              </w:rPr>
            </w:pPr>
            <w:r>
              <w:rPr>
                <w:rStyle w:val="212pt0"/>
              </w:rPr>
              <w:t>Автоматизация процесса формирования прогнозов объема государственных и муниципальных закупок</w:t>
            </w:r>
          </w:p>
        </w:tc>
      </w:tr>
      <w:tr w:rsidR="005A095A" w:rsidTr="000C3CDE">
        <w:trPr>
          <w:trHeight w:hRule="exact" w:val="820"/>
        </w:trPr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A095A" w:rsidRDefault="005A095A">
            <w:pPr>
              <w:pStyle w:val="20"/>
              <w:framePr w:w="10296" w:h="13411" w:wrap="none" w:vAnchor="page" w:hAnchor="page" w:x="875" w:y="2006"/>
              <w:shd w:val="clear" w:color="auto" w:fill="auto"/>
              <w:spacing w:line="307" w:lineRule="exact"/>
              <w:rPr>
                <w:rStyle w:val="212pt0"/>
              </w:rPr>
            </w:pPr>
            <w:r>
              <w:rPr>
                <w:rStyle w:val="212pt0"/>
                <w:lang w:val="en-US" w:eastAsia="en-US" w:bidi="en-US"/>
              </w:rPr>
              <w:t>RTS</w:t>
            </w:r>
            <w:r w:rsidRPr="003430D1">
              <w:rPr>
                <w:rStyle w:val="212pt0"/>
                <w:lang w:eastAsia="en-US" w:bidi="en-US"/>
              </w:rPr>
              <w:t xml:space="preserve"> </w:t>
            </w:r>
            <w:r>
              <w:rPr>
                <w:rStyle w:val="212pt0"/>
                <w:lang w:val="en-US" w:eastAsia="en-US" w:bidi="en-US"/>
              </w:rPr>
              <w:t>ARM</w:t>
            </w:r>
            <w:r w:rsidRPr="003430D1">
              <w:rPr>
                <w:rStyle w:val="212pt0"/>
                <w:lang w:eastAsia="en-US" w:bidi="en-US"/>
              </w:rPr>
              <w:t xml:space="preserve"> </w:t>
            </w:r>
            <w:r>
              <w:rPr>
                <w:rStyle w:val="212pt0"/>
              </w:rPr>
              <w:t>заказчика электронно</w:t>
            </w:r>
            <w:r>
              <w:rPr>
                <w:rStyle w:val="212pt0"/>
              </w:rPr>
              <w:t>-</w:t>
            </w:r>
            <w:r>
              <w:rPr>
                <w:rStyle w:val="212pt0"/>
              </w:rPr>
              <w:softHyphen/>
              <w:t>торговой площадки РТС-Тендер</w:t>
            </w:r>
          </w:p>
        </w:tc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A095A" w:rsidRDefault="005A095A">
            <w:pPr>
              <w:pStyle w:val="20"/>
              <w:framePr w:w="10296" w:h="13411" w:wrap="none" w:vAnchor="page" w:hAnchor="page" w:x="875" w:y="2006"/>
              <w:shd w:val="clear" w:color="auto" w:fill="auto"/>
              <w:spacing w:line="298" w:lineRule="exact"/>
              <w:jc w:val="both"/>
              <w:rPr>
                <w:rStyle w:val="212pt0"/>
              </w:rPr>
            </w:pPr>
            <w:r>
              <w:rPr>
                <w:rStyle w:val="212pt0"/>
              </w:rPr>
              <w:t>Автоматизированное рабочее место Заказчика электронно-торговой площадки РТС-Тендер</w:t>
            </w:r>
          </w:p>
        </w:tc>
      </w:tr>
    </w:tbl>
    <w:p w:rsidR="00851F69" w:rsidRDefault="00851F69">
      <w:pPr>
        <w:rPr>
          <w:sz w:val="2"/>
          <w:szCs w:val="2"/>
        </w:rPr>
        <w:sectPr w:rsidR="00851F6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51F69" w:rsidRDefault="00851F69">
      <w:pPr>
        <w:rPr>
          <w:sz w:val="2"/>
          <w:szCs w:val="2"/>
        </w:rPr>
      </w:pPr>
      <w:bookmarkStart w:id="1" w:name="_GoBack"/>
      <w:bookmarkEnd w:id="1"/>
    </w:p>
    <w:sectPr w:rsidR="00851F69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15C" w:rsidRDefault="005B115C">
      <w:r>
        <w:separator/>
      </w:r>
    </w:p>
  </w:endnote>
  <w:endnote w:type="continuationSeparator" w:id="0">
    <w:p w:rsidR="005B115C" w:rsidRDefault="005B1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15C" w:rsidRDefault="005B115C"/>
  </w:footnote>
  <w:footnote w:type="continuationSeparator" w:id="0">
    <w:p w:rsidR="005B115C" w:rsidRDefault="005B115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F69"/>
    <w:rsid w:val="000C3CDE"/>
    <w:rsid w:val="00197A03"/>
    <w:rsid w:val="001E3948"/>
    <w:rsid w:val="00236AB9"/>
    <w:rsid w:val="002F6BAE"/>
    <w:rsid w:val="003430D1"/>
    <w:rsid w:val="004B10B5"/>
    <w:rsid w:val="005A095A"/>
    <w:rsid w:val="005B115C"/>
    <w:rsid w:val="006579DF"/>
    <w:rsid w:val="006A6EBE"/>
    <w:rsid w:val="007B4FDB"/>
    <w:rsid w:val="00851F69"/>
    <w:rsid w:val="009211AA"/>
    <w:rsid w:val="009E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5527A-78DD-4EDC-B082-B0F3B9C27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70" w:lineRule="exact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11</cp:revision>
  <dcterms:created xsi:type="dcterms:W3CDTF">2015-07-14T09:38:00Z</dcterms:created>
  <dcterms:modified xsi:type="dcterms:W3CDTF">2015-07-21T09:25:00Z</dcterms:modified>
</cp:coreProperties>
</file>